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 w:lineRule="exact"/>
        <w:rPr>
          <w:sz w:val="24"/>
          <w:szCs w:val="24"/>
          <w:color w:val="auto"/>
        </w:rPr>
      </w:pPr>
    </w:p>
    <w:p>
      <w:pPr>
        <w:ind w:left="1200" w:hanging="671"/>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3"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2022</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1200" w:hanging="671"/>
        <w:spacing w:after="0"/>
        <w:tabs>
          <w:tab w:leader="none" w:pos="1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5520" w:val="left"/>
          <w:tab w:leader="none" w:pos="578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tab/>
        <w:t>.</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33655</wp:posOffset>
            </wp:positionV>
            <wp:extent cx="908685"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868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640" w:type="dxa"/>
            <w:vAlign w:val="bottom"/>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40" w:type="dxa"/>
            <w:vAlign w:val="bottom"/>
          </w:tcPr>
          <w:p>
            <w:pPr>
              <w:spacing w:after="0"/>
              <w:rPr>
                <w:sz w:val="13"/>
                <w:szCs w:val="13"/>
                <w:color w:val="auto"/>
              </w:rPr>
            </w:pPr>
          </w:p>
        </w:tc>
        <w:tc>
          <w:tcPr>
            <w:tcW w:w="4060" w:type="dxa"/>
            <w:vAlign w:val="bottom"/>
            <w:gridSpan w:val="3"/>
          </w:tcPr>
          <w:p>
            <w:pPr>
              <w:jc w:val="right"/>
              <w:ind w:right="2088"/>
              <w:spacing w:after="0"/>
              <w:rPr>
                <w:sz w:val="20"/>
                <w:szCs w:val="20"/>
                <w:color w:val="auto"/>
              </w:rPr>
            </w:pPr>
            <w:r>
              <w:rPr>
                <w:rFonts w:ascii="Times New Roman" w:cs="Times New Roman" w:eastAsia="Times New Roman" w:hAnsi="Times New Roman"/>
                <w:sz w:val="14"/>
                <w:szCs w:val="14"/>
                <w:b w:val="1"/>
                <w:bCs w:val="1"/>
                <w:color w:val="auto"/>
              </w:rPr>
              <w:t>80-0977200</w:t>
            </w:r>
          </w:p>
        </w:tc>
      </w:tr>
      <w:tr>
        <w:trPr>
          <w:trHeight w:val="148"/>
        </w:trPr>
        <w:tc>
          <w:tcPr>
            <w:tcW w:w="364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40" w:type="dxa"/>
            <w:vAlign w:val="bottom"/>
          </w:tcPr>
          <w:p>
            <w:pPr>
              <w:spacing w:after="0"/>
              <w:rPr>
                <w:sz w:val="12"/>
                <w:szCs w:val="12"/>
                <w:color w:val="auto"/>
              </w:rPr>
            </w:pPr>
          </w:p>
        </w:tc>
        <w:tc>
          <w:tcPr>
            <w:tcW w:w="4060" w:type="dxa"/>
            <w:vAlign w:val="bottom"/>
            <w:gridSpan w:val="3"/>
          </w:tcPr>
          <w:p>
            <w:pPr>
              <w:jc w:val="center"/>
              <w:ind w:right="888"/>
              <w:spacing w:after="0" w:line="149" w:lineRule="exact"/>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188"/>
        </w:trPr>
        <w:tc>
          <w:tcPr>
            <w:tcW w:w="3640" w:type="dxa"/>
            <w:vAlign w:val="bottom"/>
          </w:tcPr>
          <w:p>
            <w:pPr>
              <w:jc w:val="center"/>
              <w:ind w:left="14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5880" w:type="dxa"/>
            <w:vAlign w:val="bottom"/>
            <w:gridSpan w:val="2"/>
          </w:tcPr>
          <w:p>
            <w:pPr>
              <w:jc w:val="center"/>
              <w:ind w:right="848"/>
              <w:spacing w:after="0" w:line="204" w:lineRule="exact"/>
              <w:rPr>
                <w:sz w:val="20"/>
                <w:szCs w:val="20"/>
                <w:color w:val="auto"/>
              </w:rPr>
            </w:pPr>
            <w:r>
              <w:rPr>
                <w:rFonts w:ascii="Times New Roman" w:cs="Times New Roman" w:eastAsia="Times New Roman" w:hAnsi="Times New Roman"/>
                <w:sz w:val="14"/>
                <w:szCs w:val="14"/>
                <w:b w:val="1"/>
                <w:bCs w:val="1"/>
                <w:color w:val="auto"/>
              </w:rPr>
              <w:t>4009 N. Rodney Parham Road, 3</w:t>
            </w:r>
            <w:r>
              <w:rPr>
                <w:rFonts w:ascii="Times New Roman" w:cs="Times New Roman" w:eastAsia="Times New Roman" w:hAnsi="Times New Roman"/>
                <w:sz w:val="21"/>
                <w:szCs w:val="21"/>
                <w:b w:val="1"/>
                <w:bCs w:val="1"/>
                <w:color w:val="auto"/>
                <w:vertAlign w:val="superscript"/>
              </w:rPr>
              <w:t>rd</w:t>
            </w:r>
            <w:r>
              <w:rPr>
                <w:rFonts w:ascii="Times New Roman" w:cs="Times New Roman" w:eastAsia="Times New Roman" w:hAnsi="Times New Roman"/>
                <w:sz w:val="14"/>
                <w:szCs w:val="14"/>
                <w:b w:val="1"/>
                <w:bCs w:val="1"/>
                <w:color w:val="auto"/>
              </w:rPr>
              <w:t xml:space="preserve"> Floor, Little Rock, Arkansas</w:t>
            </w:r>
          </w:p>
        </w:tc>
        <w:tc>
          <w:tcPr>
            <w:tcW w:w="4060" w:type="dxa"/>
            <w:vAlign w:val="bottom"/>
            <w:gridSpan w:val="3"/>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72212</w:t>
            </w:r>
          </w:p>
        </w:tc>
      </w:tr>
      <w:tr>
        <w:trPr>
          <w:trHeight w:val="188"/>
        </w:trPr>
        <w:tc>
          <w:tcPr>
            <w:tcW w:w="5880" w:type="dxa"/>
            <w:vAlign w:val="bottom"/>
            <w:gridSpan w:val="2"/>
          </w:tcPr>
          <w:p>
            <w:pPr>
              <w:jc w:val="center"/>
              <w:ind w:right="6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20" w:type="dxa"/>
            <w:vAlign w:val="bottom"/>
          </w:tcPr>
          <w:p>
            <w:pPr>
              <w:spacing w:after="0"/>
              <w:rPr>
                <w:sz w:val="16"/>
                <w:szCs w:val="16"/>
                <w:color w:val="auto"/>
              </w:rPr>
            </w:pPr>
          </w:p>
        </w:tc>
        <w:tc>
          <w:tcPr>
            <w:tcW w:w="3640" w:type="dxa"/>
            <w:vAlign w:val="bottom"/>
            <w:gridSpan w:val="2"/>
          </w:tcPr>
          <w:p>
            <w:pPr>
              <w:jc w:val="center"/>
              <w:ind w:right="1288"/>
              <w:spacing w:after="0"/>
              <w:rPr>
                <w:sz w:val="20"/>
                <w:szCs w:val="20"/>
                <w:color w:val="auto"/>
              </w:rPr>
            </w:pPr>
            <w:r>
              <w:rPr>
                <w:rFonts w:ascii="Times New Roman" w:cs="Times New Roman" w:eastAsia="Times New Roman" w:hAnsi="Times New Roman"/>
                <w:sz w:val="14"/>
                <w:szCs w:val="14"/>
                <w:color w:val="auto"/>
              </w:rPr>
              <w:t>(Zip Code)</w:t>
            </w:r>
          </w:p>
        </w:tc>
      </w:tr>
      <w:tr>
        <w:trPr>
          <w:trHeight w:val="283"/>
        </w:trPr>
        <w:tc>
          <w:tcPr>
            <w:tcW w:w="7360" w:type="dxa"/>
            <w:vAlign w:val="bottom"/>
            <w:gridSpan w:val="4"/>
          </w:tcPr>
          <w:p>
            <w:pPr>
              <w:jc w:val="center"/>
              <w:ind w:left="31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(501) 320-4880</w:t>
            </w:r>
          </w:p>
        </w:tc>
        <w:tc>
          <w:tcPr>
            <w:tcW w:w="2580" w:type="dxa"/>
            <w:vAlign w:val="bottom"/>
          </w:tcPr>
          <w:p>
            <w:pPr>
              <w:spacing w:after="0"/>
              <w:rPr>
                <w:sz w:val="24"/>
                <w:szCs w:val="24"/>
                <w:color w:val="auto"/>
              </w:rPr>
            </w:pPr>
          </w:p>
        </w:tc>
      </w:tr>
      <w:tr>
        <w:trPr>
          <w:trHeight w:val="189"/>
        </w:trPr>
        <w:tc>
          <w:tcPr>
            <w:tcW w:w="3640" w:type="dxa"/>
            <w:vAlign w:val="bottom"/>
          </w:tcPr>
          <w:p>
            <w:pPr>
              <w:spacing w:after="0"/>
              <w:rPr>
                <w:sz w:val="16"/>
                <w:szCs w:val="16"/>
                <w:color w:val="auto"/>
              </w:rPr>
            </w:pPr>
          </w:p>
        </w:tc>
        <w:tc>
          <w:tcPr>
            <w:tcW w:w="372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80" w:type="dxa"/>
            <w:vAlign w:val="bottom"/>
          </w:tcPr>
          <w:p>
            <w:pPr>
              <w:spacing w:after="0"/>
              <w:rPr>
                <w:sz w:val="16"/>
                <w:szCs w:val="16"/>
                <w:color w:val="auto"/>
              </w:rPr>
            </w:pPr>
          </w:p>
        </w:tc>
      </w:tr>
      <w:tr>
        <w:trPr>
          <w:trHeight w:val="50"/>
        </w:trPr>
        <w:tc>
          <w:tcPr>
            <w:tcW w:w="36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gridSpan w:val="2"/>
          </w:tcPr>
          <w:p>
            <w:pPr>
              <w:spacing w:after="0"/>
              <w:rPr>
                <w:sz w:val="4"/>
                <w:szCs w:val="4"/>
                <w:color w:val="auto"/>
              </w:rPr>
            </w:pPr>
          </w:p>
        </w:tc>
      </w:tr>
      <w:tr>
        <w:trPr>
          <w:trHeight w:val="182"/>
        </w:trPr>
        <w:tc>
          <w:tcPr>
            <w:tcW w:w="3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Trading Symbol(s)</w:t>
            </w:r>
          </w:p>
        </w:tc>
        <w:tc>
          <w:tcPr>
            <w:tcW w:w="42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 of common stock, par value $0.01 per share</w:t>
            </w:r>
          </w:p>
        </w:tc>
        <w:tc>
          <w:tcPr>
            <w:tcW w:w="22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WEST</w:t>
            </w:r>
          </w:p>
        </w:tc>
        <w:tc>
          <w:tcPr>
            <w:tcW w:w="42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19"/>
        </w:trPr>
        <w:tc>
          <w:tcPr>
            <w:tcW w:w="364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Warrants, each whole warrant exercisable for one share of</w:t>
            </w:r>
          </w:p>
        </w:tc>
        <w:tc>
          <w:tcPr>
            <w:tcW w:w="224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r>
      <w:tr>
        <w:trPr>
          <w:trHeight w:val="212"/>
        </w:trPr>
        <w:tc>
          <w:tcPr>
            <w:tcW w:w="3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2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WESTW</w:t>
            </w:r>
          </w:p>
        </w:tc>
        <w:tc>
          <w:tcPr>
            <w:tcW w:w="42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7360" w:type="dxa"/>
            <w:vAlign w:val="bottom"/>
            <w:gridSpan w:val="4"/>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580" w:type="dxa"/>
            <w:vAlign w:val="bottom"/>
          </w:tcPr>
          <w:p>
            <w:pPr>
              <w:spacing w:after="0"/>
              <w:rPr>
                <w:sz w:val="15"/>
                <w:szCs w:val="15"/>
                <w:color w:val="auto"/>
              </w:rPr>
            </w:pPr>
          </w:p>
        </w:tc>
      </w:tr>
      <w:tr>
        <w:trPr>
          <w:trHeight w:val="246"/>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r>
        <w:trPr>
          <w:trHeight w:val="243"/>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bl>
    <w:p>
      <w:pPr>
        <w:spacing w:after="0" w:line="27" w:lineRule="exact"/>
        <w:rPr>
          <w:sz w:val="24"/>
          <w:szCs w:val="24"/>
          <w:color w:val="auto"/>
        </w:rPr>
      </w:pPr>
    </w:p>
    <w:p>
      <w:pPr>
        <w:ind w:right="4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00" w:val="left"/>
        </w:tabs>
        <w:rPr>
          <w:sz w:val="20"/>
          <w:szCs w:val="20"/>
          <w:color w:val="auto"/>
        </w:rPr>
      </w:pPr>
      <w:r>
        <w:rPr>
          <w:rFonts w:ascii="Times New Roman" w:cs="Times New Roman" w:eastAsia="Times New Roman" w:hAnsi="Times New Roman"/>
          <w:sz w:val="14"/>
          <w:szCs w:val="14"/>
          <w:color w:val="auto"/>
        </w:rPr>
        <w:t xml:space="preserve">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w:t>
      </w:r>
    </w:p>
    <w:p>
      <w:pPr>
        <w:spacing w:after="0" w:line="58" w:lineRule="exact"/>
        <w:rPr>
          <w:sz w:val="24"/>
          <w:szCs w:val="24"/>
          <w:color w:val="auto"/>
        </w:rPr>
      </w:pPr>
    </w:p>
    <w:p>
      <w:pPr>
        <w:ind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8"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28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9" w:lineRule="exact"/>
        <w:rPr>
          <w:sz w:val="24"/>
          <w:szCs w:val="24"/>
          <w:color w:val="auto"/>
        </w:rPr>
      </w:pPr>
    </w:p>
    <w:p>
      <w:pPr>
        <w:sectPr>
          <w:pgSz w:w="11900" w:h="16838" w:orient="portrait"/>
          <w:cols w:equalWidth="0" w:num="3">
            <w:col w:w="3060" w:space="720"/>
            <w:col w:w="2400" w:space="720"/>
            <w:col w:w="3040"/>
          </w:cols>
          <w:pgMar w:left="980" w:top="661" w:right="979" w:bottom="1440" w:gutter="0" w:footer="0" w:header="0"/>
          <w:type w:val="continuous"/>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3060" w:space="720"/>
            <w:col w:w="6160"/>
          </w:cols>
          <w:pgMar w:left="980" w:top="661" w:right="979" w:bottom="1440" w:gutter="0" w:footer="0" w:header="0"/>
          <w:type w:val="continuous"/>
        </w:sectPr>
      </w:pPr>
    </w:p>
    <w:p>
      <w:pPr>
        <w:ind w:right="480"/>
        <w:spacing w:after="0" w:line="16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8"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w:t>
      </w:r>
    </w:p>
    <w:p>
      <w:pP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reporting under Section 404(b) of the Sarbanes Oxley Act (15 U.S.C. 7262(b)) by the registered public accounting firm that prepared or issued its audit report.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2" w:lineRule="exact"/>
        <w:rPr>
          <w:sz w:val="24"/>
          <w:szCs w:val="24"/>
          <w:color w:val="auto"/>
        </w:rPr>
      </w:pPr>
    </w:p>
    <w:p>
      <w:pPr>
        <w:ind w:right="240"/>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jc w:val="both"/>
        <w:ind w:right="200"/>
        <w:spacing w:after="0" w:line="236" w:lineRule="auto"/>
        <w:rPr>
          <w:sz w:val="20"/>
          <w:szCs w:val="20"/>
          <w:color w:val="auto"/>
        </w:rPr>
      </w:pPr>
      <w:r>
        <w:rPr>
          <w:rFonts w:ascii="Times New Roman" w:cs="Times New Roman" w:eastAsia="Times New Roman" w:hAnsi="Times New Roman"/>
          <w:sz w:val="14"/>
          <w:szCs w:val="14"/>
          <w:color w:val="auto"/>
        </w:rPr>
        <w:t>As of June 30, 2022, the last business day of the registrant’s most recently completed second quarter, there was no established public market for the registrant’s common stock and therefore, the registrant cannot calculate the approximate market value of the registrant’s common stock held by non-affiliates as of such date. The registrant’s common stock began trading on the Nasdaq Global Select Market on August 29, 2022.</w:t>
      </w:r>
    </w:p>
    <w:p>
      <w:pPr>
        <w:spacing w:after="0"/>
        <w:rPr>
          <w:sz w:val="20"/>
          <w:szCs w:val="20"/>
          <w:color w:val="auto"/>
        </w:rPr>
      </w:pPr>
      <w:r>
        <w:rPr>
          <w:rFonts w:ascii="Times New Roman" w:cs="Times New Roman" w:eastAsia="Times New Roman" w:hAnsi="Times New Roman"/>
          <w:sz w:val="14"/>
          <w:szCs w:val="14"/>
          <w:color w:val="auto"/>
        </w:rPr>
        <w:t>As of March 10, 2023, there were 75,596,640 shares of the registrant’s common stock outstanding.</w:t>
      </w:r>
    </w:p>
    <w:p>
      <w:pPr>
        <w:spacing w:after="0" w:line="64"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Part III of this Form 10-K incorporates information by reference from the registrant’s definitive proxy statement related to the 2023 annual meeting of stockholders, which will be filed no later than 120 days after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649605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119" w:firstLine="259"/>
        <w:spacing w:after="0" w:line="255" w:lineRule="auto"/>
        <w:rPr>
          <w:sz w:val="20"/>
          <w:szCs w:val="20"/>
          <w:color w:val="auto"/>
        </w:rPr>
      </w:pPr>
      <w:r>
        <w:rPr>
          <w:rFonts w:ascii="Times New Roman" w:cs="Times New Roman" w:eastAsia="Times New Roman" w:hAnsi="Times New Roman"/>
          <w:sz w:val="18"/>
          <w:szCs w:val="18"/>
          <w:color w:val="auto"/>
        </w:rPr>
        <w:t>On August 26, 2022, the registrant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89" w:lineRule="exact"/>
        <w:rPr>
          <w:sz w:val="20"/>
          <w:szCs w:val="20"/>
          <w:color w:val="auto"/>
        </w:rPr>
      </w:pPr>
    </w:p>
    <w:p>
      <w:pPr>
        <w:ind w:left="60" w:right="79" w:firstLine="259"/>
        <w:spacing w:after="0" w:line="253" w:lineRule="auto"/>
        <w:rPr>
          <w:sz w:val="20"/>
          <w:szCs w:val="20"/>
          <w:color w:val="auto"/>
        </w:rPr>
      </w:pPr>
      <w:r>
        <w:rPr>
          <w:rFonts w:ascii="Times New Roman" w:cs="Times New Roman" w:eastAsia="Times New Roman" w:hAnsi="Times New Roman"/>
          <w:sz w:val="18"/>
          <w:szCs w:val="18"/>
          <w:color w:val="auto"/>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(“Series A Preferred Shares”), respectively. See Note 4, De-SPAC Merger Transaction, to the consolidated financial statements included in Item 8 of Part II of this Annual Report on Form 10-K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restated on the basis of Common Shares to reflect the conversion of common units to Common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99" w:firstLine="259"/>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defined under U.S. federal securities laws.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90" w:lineRule="exact"/>
        <w:rPr>
          <w:sz w:val="20"/>
          <w:szCs w:val="20"/>
          <w:color w:val="auto"/>
        </w:rPr>
      </w:pPr>
    </w:p>
    <w:p>
      <w:pPr>
        <w:ind w:left="60" w:right="419" w:firstLine="259"/>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62"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w:t>
      </w:r>
    </w:p>
    <w:p>
      <w:pPr>
        <w:spacing w:after="0" w:line="27" w:lineRule="exact"/>
        <w:rPr>
          <w:rFonts w:ascii="Times New Roman" w:cs="Times New Roman" w:eastAsia="Times New Roman" w:hAnsi="Times New Roman"/>
          <w:sz w:val="18"/>
          <w:szCs w:val="18"/>
          <w:color w:val="auto"/>
        </w:rPr>
      </w:pPr>
    </w:p>
    <w:p>
      <w:pPr>
        <w:ind w:left="700" w:right="33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increases in the cost of green coffee, tea and other ingredients and packaging, and our inability to pass these costs on to customers;</w:t>
      </w:r>
    </w:p>
    <w:p>
      <w:pPr>
        <w:ind w:left="700" w:right="33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production and distribution facilities;</w:t>
      </w:r>
    </w:p>
    <w:p>
      <w:pPr>
        <w:spacing w:after="0" w:line="9" w:lineRule="exact"/>
        <w:rPr>
          <w:rFonts w:ascii="Times New Roman" w:cs="Times New Roman" w:eastAsia="Times New Roman" w:hAnsi="Times New Roman"/>
          <w:sz w:val="18"/>
          <w:szCs w:val="18"/>
          <w:color w:val="auto"/>
        </w:rPr>
      </w:pPr>
    </w:p>
    <w:p>
      <w:pPr>
        <w:ind w:left="700" w:right="89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coffee-exporting business;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hanging="326"/>
        <w:spacing w:after="0" w:line="261"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00" w:right="4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9" w:lineRule="exact"/>
        <w:rPr>
          <w:rFonts w:ascii="Times New Roman" w:cs="Times New Roman" w:eastAsia="Times New Roman" w:hAnsi="Times New Roman"/>
          <w:sz w:val="18"/>
          <w:szCs w:val="18"/>
          <w:color w:val="auto"/>
        </w:rPr>
      </w:pPr>
    </w:p>
    <w:p>
      <w:pPr>
        <w:ind w:left="700" w:right="2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9" w:lineRule="exact"/>
        <w:rPr>
          <w:rFonts w:ascii="Times New Roman" w:cs="Times New Roman" w:eastAsia="Times New Roman" w:hAnsi="Times New Roman"/>
          <w:sz w:val="18"/>
          <w:szCs w:val="18"/>
          <w:color w:val="auto"/>
        </w:rPr>
      </w:pPr>
    </w:p>
    <w:p>
      <w:pPr>
        <w:ind w:left="700" w:right="7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ind w:left="700" w:right="3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contained in our credit agreement;</w:t>
      </w:r>
    </w:p>
    <w:p>
      <w:pPr>
        <w:spacing w:after="0" w:line="9" w:lineRule="exact"/>
        <w:rPr>
          <w:rFonts w:ascii="Times New Roman" w:cs="Times New Roman" w:eastAsia="Times New Roman" w:hAnsi="Times New Roman"/>
          <w:sz w:val="18"/>
          <w:szCs w:val="18"/>
          <w:color w:val="auto"/>
        </w:rPr>
      </w:pPr>
    </w:p>
    <w:p>
      <w:pPr>
        <w:ind w:left="700" w:right="1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the construction of our new facility in Conway, Arkansas in time or incurring additional expenses in the process;</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w:t>
      </w:r>
    </w:p>
    <w:p>
      <w:pPr>
        <w:spacing w:after="0" w:line="9" w:lineRule="exact"/>
        <w:rPr>
          <w:rFonts w:ascii="Times New Roman" w:cs="Times New Roman" w:eastAsia="Times New Roman" w:hAnsi="Times New Roman"/>
          <w:sz w:val="18"/>
          <w:szCs w:val="18"/>
          <w:color w:val="auto"/>
        </w:rPr>
      </w:pPr>
    </w:p>
    <w:p>
      <w:pPr>
        <w:ind w:left="700" w:right="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00" w:right="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economic conditions, including those caused by economic slowdowns or recessions, changes in political, economic or industry conditions, global conflicts (including the ongoing military conflict between Russia and Ukraine and recent conflicts in Brazil), inflation, the interest rate environment, U.S. government shutdowns, downgrades to the U.S. government’s sovereign credit rating or other conditions affecting the global financial and capital markets, and epidemic, pandemic or other health issues;</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resurgence of COVID-19 and emergence of new variants of the virus; and</w:t>
      </w:r>
    </w:p>
    <w:p>
      <w:pPr>
        <w:spacing w:after="0" w:line="9" w:lineRule="exact"/>
        <w:rPr>
          <w:rFonts w:ascii="Times New Roman" w:cs="Times New Roman" w:eastAsia="Times New Roman" w:hAnsi="Times New Roman"/>
          <w:sz w:val="18"/>
          <w:szCs w:val="18"/>
          <w:color w:val="auto"/>
        </w:rPr>
      </w:pPr>
    </w:p>
    <w:p>
      <w:pPr>
        <w:ind w:left="700" w:right="139" w:hanging="326"/>
        <w:spacing w:after="0" w:line="253"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Part I, Item 1 “Business,” Part I, Item 1A “Risk Factors” and Part II, Item 7 “Management’s Discussion and Analysis” sections of this Annual Report on Form 10-K, as well as those described from time to time in our future reports filed with the U.S. Securities and Exchange Commission (the “SEC”).</w:t>
      </w:r>
    </w:p>
    <w:p>
      <w:pPr>
        <w:spacing w:after="0" w:line="189" w:lineRule="exact"/>
        <w:rPr>
          <w:sz w:val="20"/>
          <w:szCs w:val="20"/>
          <w:color w:val="auto"/>
        </w:rPr>
      </w:pPr>
    </w:p>
    <w:p>
      <w:pPr>
        <w:ind w:left="60" w:right="59" w:firstLine="259"/>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5"/>
        </w:trPr>
        <w:tc>
          <w:tcPr>
            <w:tcW w:w="120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18"/>
                <w:szCs w:val="18"/>
                <w:color w:val="auto"/>
              </w:rPr>
            </w:pPr>
          </w:p>
        </w:tc>
        <w:tc>
          <w:tcPr>
            <w:tcW w:w="620" w:type="dxa"/>
            <w:vAlign w:val="bottom"/>
            <w:gridSpan w:val="6"/>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380" w:type="dxa"/>
            <w:vAlign w:val="bottom"/>
            <w:gridSpan w:val="2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9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7"/>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68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4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5.</w:t>
            </w:r>
          </w:p>
        </w:tc>
        <w:tc>
          <w:tcPr>
            <w:tcW w:w="7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560" w:type="dxa"/>
            <w:vAlign w:val="bottom"/>
            <w:tcBorders>
              <w:top w:val="single" w:sz="8" w:color="0000EE"/>
            </w:tcBorders>
            <w:gridSpan w:val="18"/>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7"/>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7"/>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5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600" w:type="dxa"/>
            <w:vAlign w:val="bottom"/>
            <w:gridSpan w:val="5"/>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6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Item 8.</w:t>
            </w:r>
          </w:p>
        </w:tc>
        <w:tc>
          <w:tcPr>
            <w:tcW w:w="702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800" w:type="dxa"/>
            <w:vAlign w:val="bottom"/>
            <w:gridSpan w:val="8"/>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7"/>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54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600" w:type="dxa"/>
            <w:vAlign w:val="bottom"/>
            <w:gridSpan w:val="5"/>
          </w:tcPr>
          <w:p>
            <w:pPr>
              <w:spacing w:after="0"/>
              <w:rPr>
                <w:sz w:val="17"/>
                <w:szCs w:val="17"/>
                <w:color w:val="auto"/>
              </w:rPr>
            </w:pPr>
          </w:p>
        </w:tc>
        <w:tc>
          <w:tcPr>
            <w:tcW w:w="1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2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120" w:type="dxa"/>
            <w:vAlign w:val="bottom"/>
            <w:tcBorders>
              <w:top w:val="single" w:sz="8" w:color="0000EE"/>
            </w:tcBorders>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2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600" w:type="dxa"/>
            <w:vAlign w:val="bottom"/>
            <w:gridSpan w:val="5"/>
          </w:tcPr>
          <w:p>
            <w:pPr>
              <w:spacing w:after="0"/>
              <w:rPr>
                <w:sz w:val="17"/>
                <w:szCs w:val="17"/>
                <w:color w:val="auto"/>
              </w:rPr>
            </w:pPr>
          </w:p>
        </w:tc>
        <w:tc>
          <w:tcPr>
            <w:tcW w:w="67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Shareholder</w:t>
            </w:r>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600" w:type="dxa"/>
            <w:vAlign w:val="bottom"/>
            <w:gridSpan w:val="5"/>
          </w:tcPr>
          <w:p>
            <w:pPr>
              <w:spacing w:after="0"/>
              <w:rPr>
                <w:sz w:val="17"/>
                <w:szCs w:val="17"/>
                <w:color w:val="auto"/>
              </w:rPr>
            </w:pPr>
          </w:p>
        </w:tc>
        <w:tc>
          <w:tcPr>
            <w:tcW w:w="28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7"/>
          </w:tcPr>
          <w:p>
            <w:pPr>
              <w:spacing w:after="0"/>
              <w:rPr>
                <w:sz w:val="17"/>
                <w:szCs w:val="17"/>
                <w:color w:val="auto"/>
              </w:rPr>
            </w:pPr>
          </w:p>
        </w:tc>
        <w:tc>
          <w:tcPr>
            <w:tcW w:w="1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3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3860" w:type="dxa"/>
            <w:vAlign w:val="bottom"/>
            <w:gridSpan w:val="11"/>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 We seek to be the leading company to our partners, providing end-to-end solutions and offering product innovation, traceability, transparency, and scalability for coffee, tea, flavors, extracts and ingredients globally.</w:t>
      </w:r>
    </w:p>
    <w:p>
      <w:pPr>
        <w:spacing w:after="0" w:line="187"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Our mission is to build and efficiently operate the preeminent integrated coffee, tea, flavors, extracts, and ingredients solutions provider to the world’s most iconic brands. We do this to provide smallholder farmers and their families in developing countries the ability to advance their quality of life and economic well-being.</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platform is built upon four fundamental pillars that position us as a leading provider of value-added beverage solutions and enable us to positively impact the coffee, tea, flavors, extracts, and ingredients ecosystems from crop to cup: (i) operate a fully transparent supply chain, (ii) develop innovative beverage solutions tailored to our customers’ specific needs, (iii) deliver a high quality and comprehensive set of products to our customers, and (iv) leverage our scaled international presence to serve our blue-chip customer base.</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operates eight manufacturing facilities, three of which are located in Concord, North Carolina, two in North Little Rock, Arkansas, one in Richmond, California, one in Kigali, Rwanda, and one in Johor Bahru, Malaysia. We have begun the build-out of a 524,000 square-foot extract and ready-to-drink facility (“RTD”) in Conway, Arkansas, which will be our ninth manufacturing facility, and one of the largest of its type in the United States. The Conway facility is expected to begin commercial production in 2024.</w:t>
      </w:r>
    </w:p>
    <w:p>
      <w:pPr>
        <w:spacing w:after="0" w:line="183"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As of December 31, 2022, our operating structure consists of two reportable segments: Beverage Solutions and Sustainable Sourcing and Traceability (“SS&amp;T”).</w:t>
      </w:r>
    </w:p>
    <w:p>
      <w:pPr>
        <w:spacing w:after="0" w:line="16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August 26, 2022,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Company.” Pursuant to the Transaction Agreement, Merger Sub I merged with and into Riverview, with Riverview surviving the merger as a direct wholly owned subsidiary of Westrock (such merger, the “SPAC Merger”) and immediately following the consummation of such merger, Riverview merged with and into Merger Sub II, with Merger Sub II surviving the merger as a direct wholly owned subsidiary of Westrock.</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At Closing, the Company issued 12,868,151 shares of common stock of the Company, par value $0.01 (“Common Shares”), to public and Class B shareholders of Riverview, receiving $49.8 million of the cash held in the trust account of Riverview, which is net of $17.1 million of Riverview transaction expenses offset against proceeds received by the Company at Closing. The 12,868,151 Common Shares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Substantially concurrently with the Closing, the Company received $205.9 million in cash proceeds from common stock PIPE investments (the “PIPE Financing”), issued 20,590,000 Common Shares to the PIPE investors and entered into a credit agreement (the “Credit Facility”) that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November 14, 2022, Westrock Beverage Solutions, LLC, a Delaware limited liability company and wholly owned subsidiary of the Company, acquired one hundred percent (100%) of the equity securities of Kohana Coffee, LLC (“Kohana Coffee”), a Texas limited liability company. Kohana Coffee is an extract and RTD focused business, based in Richmond, California, serving customers in the retail and CPG industries. Aggregate consideration paid for Kohana Coffee included 1,852,608 Common Shares and approximately $15.7 million in cash, subject to customary adjustments.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“Amendment”) to its Credit Agreement, which establishes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Bixby Roasting Co. (“Bixby”), a specialty-grade roaster that is a leader in the emerging influencer-led brand space. The acquisition includes Bixby’s roasting facility in Los Angeles, California.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order to achieve our mission, we will utilize our competitive strengths and we will drive continued, sustainable growth and strong financial performance by executing on our growth strategies.</w:t>
      </w:r>
    </w:p>
    <w:p>
      <w:pPr>
        <w:spacing w:after="0" w:line="160"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Exceptional and highly experienced management team. </w:t>
      </w:r>
      <w:r>
        <w:rPr>
          <w:rFonts w:ascii="Times New Roman" w:cs="Times New Roman" w:eastAsia="Times New Roman" w:hAnsi="Times New Roman"/>
          <w:sz w:val="18"/>
          <w:szCs w:val="18"/>
          <w:color w:val="auto"/>
        </w:rPr>
        <w:t>Our experienced and passionate executive team has helmed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our growth and set our strategic direction, all underpinned by a purpose to become the world’s most competitive and innovative provider of beverage solutions in order to provide smallholder farmers and their families in developing countries the ability to advance their quality of life and economic well-being.</w:t>
      </w:r>
    </w:p>
    <w:p>
      <w:pPr>
        <w:spacing w:after="0" w:line="18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Purpose-driven mission that delivers measurable impact. </w:t>
      </w:r>
      <w:r>
        <w:rPr>
          <w:rFonts w:ascii="Times New Roman" w:cs="Times New Roman" w:eastAsia="Times New Roman" w:hAnsi="Times New Roman"/>
          <w:sz w:val="18"/>
          <w:szCs w:val="18"/>
          <w:color w:val="auto"/>
        </w:rPr>
        <w:t>We started Westrock with the belief that growth is an inevitable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byproduct of investments in infrastructure, farmer development, supply chain and product innovation, and technological advancement, when coupled with exceptional personal service. We transform anonymous, disjointed supply chains into transparent, connected systems. Through economic empowerment and environmental accountability, we directly improve the lives of the people who bring our products to life. Paying fair prices, training farmers, and connecting them to customers with full transparency leads to reinvestment in more sustainable, profitable farms. The value we create to improve lives accelerates symbiotically with our revenue and profits.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Proprietary, digitally traceable technology. </w:t>
      </w:r>
      <w:r>
        <w:rPr>
          <w:rFonts w:ascii="Times New Roman" w:cs="Times New Roman" w:eastAsia="Times New Roman" w:hAnsi="Times New Roman"/>
          <w:sz w:val="18"/>
          <w:szCs w:val="18"/>
          <w:color w:val="auto"/>
        </w:rPr>
        <w:t>We are capable of tracing individual lots from the farm, through the roaster,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finished good. We combine IBM Food Trust® blockchain, Oracle NetSuite®, and other technologies to create traceability and connectivity on a global scale.</w:t>
      </w:r>
    </w:p>
    <w:p>
      <w:pPr>
        <w:spacing w:after="0" w:line="17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Beginning with the farmer transactions, data is captured at every stage of the supply chain. We then collect data as it relates to exporting and importing coffee beans, including coffee milling, ocean freight, import clearing and delivery to the final warehouse. We then obtain the roasting data, as well as information about our purchase orders and packaging. Upon delivery to our customers, the traceability data is uploaded to their portals for finished goods. Our technology and commitment to responsible sourcing enables us to transform anonymous, disjointed supply chains into transparent, connected systems. Traceability is a fundamental pillar of the value proposition we offer our customers, and is key to driving the industry shift that will positively impact small hold coffee farmers throughout the world.</w:t>
      </w:r>
    </w:p>
    <w:p>
      <w:pPr>
        <w:spacing w:after="0" w:line="18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Innovative, value-added, and scalable beverage solutions provider. </w:t>
      </w:r>
      <w:r>
        <w:rPr>
          <w:rFonts w:ascii="Times New Roman" w:cs="Times New Roman" w:eastAsia="Times New Roman" w:hAnsi="Times New Roman"/>
          <w:sz w:val="18"/>
          <w:szCs w:val="18"/>
          <w:color w:val="auto"/>
        </w:rPr>
        <w:t>Our comprehensive solutions offering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approach make us a unique “brand-behind-the-brand,” which allow us to deliver value-added beverage solutions across multiple product categories and platforms to our customers. Our collaborative product development process starts with custom consumer insights targeted to our customers’ channel and consumer profiles and makes us a critical partner to foodservice and private label retail operators seeking new and innovative products. The ability to serve global foodservice operators through our scaled international presence, best-in-class sustainable sourcing capabilities, and vertically integrated supply chain positions us as a global full-menu beverage solutions provider.</w:t>
      </w:r>
    </w:p>
    <w:p>
      <w:pPr>
        <w:spacing w:after="0" w:line="18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comprehensive line of products allows us to create any product platform in a multitude of packaging sizes and formats. Our skilled team has extensive experience of success working in blend matching and taste profiling, which demonstrates our ability to match any coffee or tea blend or ready-to-drink beverage desired and ensure consistency in every cup. This, along with our partnership approach with our customers, enhances our ability to drive beverage program profitability. The capacity to deliver an ethically-sourced bespoke product, around the world, in a timely manner differentiates us from our competition.</w:t>
      </w:r>
    </w:p>
    <w:p>
      <w:pPr>
        <w:spacing w:after="0" w:line="18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growth and compelling liquid extract business. </w:t>
      </w:r>
      <w:r>
        <w:rPr>
          <w:rFonts w:ascii="Times New Roman" w:cs="Times New Roman" w:eastAsia="Times New Roman" w:hAnsi="Times New Roman"/>
          <w:sz w:val="18"/>
          <w:szCs w:val="18"/>
          <w:color w:val="auto"/>
        </w:rPr>
        <w:t>As Millennials and Generation Z enter their prime spending age,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drive major change within the coffee industry. Instead of hot coffee beverages and carbonated soft drinks, millennials are consuming cold coffee, liquid extracts, and premium away-from-home beverages. These trends are trickling down into Generation Z as well. As traditional fast-food restaurants and convenience stores compete to win back market share from current industry leaders, these restaurants and convenience stores need a partner to innovate and fulfill growing demand for cold coffee and other forms of liquid extracts globally.</w:t>
      </w:r>
    </w:p>
    <w:p>
      <w:pPr>
        <w:spacing w:after="0" w:line="18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 a leading partner to these restaurants and convenience stores, we believe we are capable of fulfilling innovation requirements and scaling quickly enough to meet demand. We are uniquely positioned to support innovation demand from extract development through RTD fulfillment. Liquid Extracts is our highest growth product category that includes iced coffees, cold brew coffee, and RTD mixes, with cold coffee products experiencing the most significant growth. The segment comes with a significant channel diversification opportunity within the varied ingredients and cross-selling options, with tailwinds driven by cold brew and RTD beverages.</w:t>
      </w:r>
    </w:p>
    <w:p>
      <w:pPr>
        <w:spacing w:after="0" w:line="18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Unparalleled customer value proposition. </w:t>
      </w:r>
      <w:r>
        <w:rPr>
          <w:rFonts w:ascii="Times New Roman" w:cs="Times New Roman" w:eastAsia="Times New Roman" w:hAnsi="Times New Roman"/>
          <w:sz w:val="18"/>
          <w:szCs w:val="18"/>
          <w:color w:val="auto"/>
        </w:rPr>
        <w:t>Our value proposition enables us to develop successful beverage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roadmaps, to provide product innovation, and to grow with our customers. Consumer and market insights comprise the foundation of our product innovation process and customer program recommendations. As a research-driven organization, we utilize our industry and consumer insights across our product development and sales processes. Our end-to-end solutions are based on a cross-functional sales team approach that starts with insights and innovation, leads to product and taste profile development, on to sourcing and risk management, production, final packaging and logistics delivery, and is supported with marketing and continued process and program refinement.</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Culture of commitment. </w:t>
      </w:r>
      <w:r>
        <w:rPr>
          <w:rFonts w:ascii="Times New Roman" w:cs="Times New Roman" w:eastAsia="Times New Roman" w:hAnsi="Times New Roman"/>
          <w:sz w:val="18"/>
          <w:szCs w:val="18"/>
          <w:color w:val="auto"/>
        </w:rPr>
        <w:t>We have a highly experienced leadership team anchored by a growth-oriented culture and a deep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 of talent with strong business and operational experience. Our employees at all levels of our organization are passionate about addressing the needs of our stakeholders — from our farmer partners, to our customers, to our stockholders. Our company is full of people looking to make a difference in countless lives around the world. We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consider everyone who touches Westrock coffee — from crop to cup — to be an equal contributor in our mission to produce great coffee and improve the industry as a whole.</w:t>
      </w:r>
    </w:p>
    <w:p>
      <w:pPr>
        <w:spacing w:after="0" w:line="160" w:lineRule="exact"/>
        <w:rPr>
          <w:sz w:val="20"/>
          <w:szCs w:val="20"/>
          <w:color w:val="auto"/>
        </w:rPr>
      </w:pPr>
    </w:p>
    <w:p>
      <w:pPr>
        <w:ind w:left="60" w:right="13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Robust financial growth and performance underpinned by on-the-ground operating initiatives. </w:t>
      </w:r>
      <w:r>
        <w:rPr>
          <w:rFonts w:ascii="Times New Roman" w:cs="Times New Roman" w:eastAsia="Times New Roman" w:hAnsi="Times New Roman"/>
          <w:sz w:val="17"/>
          <w:szCs w:val="17"/>
          <w:color w:val="auto"/>
        </w:rPr>
        <w:t>Our strong topline growth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recent years combined with more streamlined operations have delivered continued improvement in our financial profile.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Extend and enhance product offerings through innovation. </w:t>
      </w:r>
      <w:r>
        <w:rPr>
          <w:rFonts w:ascii="Times New Roman" w:cs="Times New Roman" w:eastAsia="Times New Roman" w:hAnsi="Times New Roman"/>
          <w:sz w:val="18"/>
          <w:szCs w:val="18"/>
          <w:color w:val="auto"/>
        </w:rPr>
        <w:t>We are relentlessly focused on product innovation as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to our success. As the brand-behind-the-brand, we expect to continue to create new categories while innovating current products and formats at scale. We believe the liquid extracts category is the best near-term product expansion opportunity as customer tastes continue to shift to cold brew and RTD offerings.</w:t>
      </w:r>
    </w:p>
    <w:p>
      <w:pPr>
        <w:spacing w:after="0" w:line="18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our customer base. </w:t>
      </w:r>
      <w:r>
        <w:rPr>
          <w:rFonts w:ascii="Times New Roman" w:cs="Times New Roman" w:eastAsia="Times New Roman" w:hAnsi="Times New Roman"/>
          <w:sz w:val="18"/>
          <w:szCs w:val="18"/>
          <w:color w:val="auto"/>
        </w:rPr>
        <w:t>While we take the privilege of serving our current customers very seriously, we are 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aggressively working to expand our blue-chip customer base to further penetrate our existing channels. Our new customer pipeline is organized and quantified through a detailed process that engages our cross-functional team to ensure we are always working to grow our customer base.</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Follow our customers with geographic expansion. </w:t>
      </w:r>
      <w:r>
        <w:rPr>
          <w:rFonts w:ascii="Times New Roman" w:cs="Times New Roman" w:eastAsia="Times New Roman" w:hAnsi="Times New Roman"/>
          <w:sz w:val="18"/>
          <w:szCs w:val="18"/>
          <w:color w:val="auto"/>
        </w:rPr>
        <w:t>Many of our blue-chip customers operate restaurants,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stores, and retail stores globally. Based on our estimates, we serve a substantial majority of our customers’ locations in the United States, but a very small fraction of their locations in international markets. This creates a significant opportunity to increase our sales within our existing customer base by “going with” our customers where they currently operate.</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Proven M&amp;A platform with a highly accretive actionable pipeline of acquisition targets. </w:t>
      </w:r>
      <w:r>
        <w:rPr>
          <w:rFonts w:ascii="Times New Roman" w:cs="Times New Roman" w:eastAsia="Times New Roman" w:hAnsi="Times New Roman"/>
          <w:sz w:val="18"/>
          <w:szCs w:val="18"/>
          <w:color w:val="auto"/>
        </w:rPr>
        <w:t>Our management team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proven track record of identifying, executing, and integrating acquisitions. We intend to leverage our proven value creation playbook to accelerate growth and realize synergies. Acquisitions will allow us to increase our customers, products, and geographies.</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Continue to drive margin expansion. </w:t>
      </w:r>
      <w:r>
        <w:rPr>
          <w:rFonts w:ascii="Times New Roman" w:cs="Times New Roman" w:eastAsia="Times New Roman" w:hAnsi="Times New Roman"/>
          <w:sz w:val="18"/>
          <w:szCs w:val="18"/>
          <w:color w:val="auto"/>
        </w:rPr>
        <w:t>We have developed a vertically integrated infrastructure that allows for scalability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adaptability. We will continue to increase our scale in order to promote cost of goods sold efficiencies and improve our ability to leverage our fixed cost infrastructure. We will also continue to seek to improve gross profit, through driving sales growth in the high-margin liquid extracts segment. We expect to add additional capacity to support our expansion and supply chain over the long term by investing in additional manufacturing facilities.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focused on building a brand-behind-the-brand platform supported by an organization with the capabilities to provide comprehensive value-added beverage solutions. Capitalizing on growing beverage categories and innovation, we offer an array of on-trend, highly differentiated and innovative products that allow our customers to satisfy their customers changing tastes and preferences.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Our diversified product offering combines a strong earnings foundation in whole bean roast and ground coffee with high-growth product offerings in single service cups, food service iced tea, retail and food service hot tea, extract-based products, and our RTD beverage platform. These products reside in our Beverage Solutions segment.</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From an innovation perspective, we recently launched multiple cold brew coffee and tea concentrate product lines, chai tea and other functional health beverage concentrates, an infused-beverages platform for agua frescas and other blended juice-based products, coffee extracts designed for indulgent dairy-based products, and further expanded into core RTD products. We collaborate with customers from the consumer insights and product design phase of development through extract manufacture and end-of-the-line packaging, which enables Westrock to capture profitability at every stage of the value chain. This turnkey approach makes us a valuable partner for our global customers to feed a constant pipeline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innovation into their business planning process. Using this same platform, we are also able to toll produce for our customers. We believe our ability to be flexible distinguishes us in the market.</w:t>
      </w:r>
    </w:p>
    <w:p>
      <w:pPr>
        <w:spacing w:after="0" w:line="16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One element of Westrock’s platform is to integrate our consumer insights, omni-channel product marketing and product development resources into the strategic planning process of our key global accounts, providing us with a multi-year stream of product innovation and new product introductions far ahead of the product launch cycle. This yields repeatable, forecastable, and consistent growth and the platform enables us to more efficiently deploy human resources and capital expenditures as compared to our competition due to our integration with the growth and product innovation plans of our key global customers.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consumer preferences change and we integrate further as a key partner to our global customer base, we will continue to create new categories, innovate current products and formats at scale, and deliver the craft appeal across our offerings, with a baseline of the sustainable and better-for-you products that our customers are demanding.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 Channels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Westrock Coffee seeks to supply the world’s most iconic brands with the world’s most innovative coffee, tea, flavors, extracts, and ingredients products. As the brand-behind-the brands, our long-tenured customers include blue-chip market leaders across the retail, restaurant and food service, convenience store and travel center, non-commercial account, CPG, and hospitality industries.</w:t>
      </w:r>
    </w:p>
    <w:p>
      <w:pPr>
        <w:spacing w:after="0" w:line="180" w:lineRule="exact"/>
        <w:rPr>
          <w:sz w:val="20"/>
          <w:szCs w:val="20"/>
          <w:color w:val="auto"/>
        </w:rPr>
      </w:pPr>
    </w:p>
    <w:p>
      <w:pPr>
        <w:ind w:left="60" w:right="299"/>
        <w:spacing w:after="0" w:line="289" w:lineRule="auto"/>
        <w:rPr>
          <w:sz w:val="20"/>
          <w:szCs w:val="20"/>
          <w:color w:val="auto"/>
        </w:rPr>
      </w:pPr>
      <w:r>
        <w:rPr>
          <w:rFonts w:ascii="Times New Roman" w:cs="Times New Roman" w:eastAsia="Times New Roman" w:hAnsi="Times New Roman"/>
          <w:sz w:val="17"/>
          <w:szCs w:val="17"/>
          <w:color w:val="auto"/>
        </w:rPr>
        <w:t>The mix of industries we serve provides a balance of in-home and out-of-home consumption. This diversification brings opportunities to leverage various products across industries and ensure that, regardless of shifting consumer patterns driving consumption at home or away, we remain stable and balanced as a provider of the brand-behind-the-brands.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Supply Chain Traceability and Community Impact</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differentiate ourselves by situating our businesses at each point of aggregation in the supply chain, including coffee exporting through our wholly owned subsidiary Rwanda Trading Company SA (“RTC”), coffee importing and trading through Falcon Coffees Limited (“Falcon”) and coffee roasting. These strategic holdings provide exceptional insight into each segment of the supply chain that allows us to better understand and manage risk. Although we do not own any farms, we source our coffee and tea from over 1.5 million farmer partners spread across 35 different countries, spreading our supply risk across multiple importers and exporters and countries of origin.</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We are focused on delivering a fully traceable and transparent supply chain for our customers. We have multiple programs and strategies designed to meet customers’ varying needs, including the following:</w:t>
      </w:r>
    </w:p>
    <w:p>
      <w:pPr>
        <w:spacing w:after="0" w:line="16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Responsible Sourcing Strategy. </w:t>
      </w:r>
      <w:r>
        <w:rPr>
          <w:rFonts w:ascii="Times New Roman" w:cs="Times New Roman" w:eastAsia="Times New Roman" w:hAnsi="Times New Roman"/>
          <w:sz w:val="18"/>
          <w:szCs w:val="18"/>
          <w:color w:val="auto"/>
        </w:rPr>
        <w:t>We define responsible sourcing as the purchase and processing of coffee and tea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is fair to the people who grow and handle it, their employees, peers, and environments. As of December 31, 2022, approximately 69% of our coffee and tea is responsibly sourced globally. We are committed to continuing to increase our responsibly sourced coffee and tea by building a global supplier assurance framework in partnership with assurance experts, and we will audit our entire supplier network for compliance with our Responsible Sourcing Policy. Additionally, we plan to deploy more personnel in key supply chains to further quantify the social, environmental, and entrepreneurial impact of coffee and tea in the countries of origin.</w:t>
      </w:r>
    </w:p>
    <w:p>
      <w:pPr>
        <w:spacing w:after="0" w:line="183"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Farmer Direct Verified®.</w:t>
      </w:r>
      <w:r>
        <w:rPr>
          <w:rFonts w:ascii="Times New Roman" w:cs="Times New Roman" w:eastAsia="Times New Roman" w:hAnsi="Times New Roman"/>
          <w:sz w:val="18"/>
          <w:szCs w:val="18"/>
          <w:color w:val="auto"/>
        </w:rPr>
        <w:t>  Westrock is the largest private label service provider in the world to enable digital traceability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scale from farm gate to the finished products across all beverage offerings. Our transparent sourcing program, Farmer Direct Verified® (“FDV”), provides unprecedented transactional data throughout the supply chain. This, combined with multi-year trade relationships enables deeper collaboration, enforces ethical practices in the supply chain, and lays the foundation to solve the sustainability issues of tomorrow. Communicating supply chain realities allows our customers to make the informed decisions for their brands and leads to reinvestment in sustainable farms.</w:t>
      </w:r>
    </w:p>
    <w:p>
      <w:pPr>
        <w:spacing w:after="0" w:line="182" w:lineRule="exact"/>
        <w:rPr>
          <w:sz w:val="20"/>
          <w:szCs w:val="20"/>
          <w:color w:val="auto"/>
        </w:rPr>
      </w:pPr>
    </w:p>
    <w:p>
      <w:pPr>
        <w:ind w:left="60" w:right="339"/>
        <w:spacing w:after="0" w:line="315" w:lineRule="auto"/>
        <w:rPr>
          <w:sz w:val="20"/>
          <w:szCs w:val="20"/>
          <w:color w:val="auto"/>
        </w:rPr>
      </w:pPr>
      <w:r>
        <w:rPr>
          <w:rFonts w:ascii="Times New Roman" w:cs="Times New Roman" w:eastAsia="Times New Roman" w:hAnsi="Times New Roman"/>
          <w:sz w:val="17"/>
          <w:szCs w:val="17"/>
          <w:i w:val="1"/>
          <w:iCs w:val="1"/>
          <w:color w:val="auto"/>
        </w:rPr>
        <w:t>Raíz Sustainability</w:t>
      </w:r>
      <w:r>
        <w:rPr>
          <w:rFonts w:ascii="Times New Roman" w:cs="Times New Roman" w:eastAsia="Times New Roman" w:hAnsi="Times New Roman"/>
          <w:sz w:val="17"/>
          <w:szCs w:val="17"/>
          <w:color w:val="auto"/>
        </w:rPr>
        <w:t>. Raíz Sustainability is a proprietary third party-verified sustainable farming program. Raíz farmers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training, services, and a $0.05 premium that makes their farms more environmentally sustainable and profitable.</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Raíz farmers also comply with internationally recognized standards for labor conditions, human rights, and environmental protection. Supply chain programs like Raíz show just how imbedded we are with many of our unrelated supply partners, which allows us to spread sourcing risk across multiple partners, origins, quality types and farmer groups without giving up influence over matters material to our sourcing goals such as farmer livelihoods, yield improvements, and transparent data.</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primary raw materials are green coffee and tea. Green coffee is an exchange-traded commodity subject to price fluctuations. There are certain instances when specific types of green coffee are not traded on a commodities exchange, and instead are traded on a negotiated flat-price basis.</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most common flat-priced coffee in our portfolio is Fairtrade-certified coffees. The pricing structure set up by Fairtrade offers the exporter price floor on an FOB Origin basis of $1.60 per pound for Washed processed coffees and $1.55 per pound for Natural processed coffees. Therefore, when the average price of green coffee per pound, or C-Price, plus the differential for the conventional quality in question is below the Fairtrade minimum pricing, then we pay a flat price equal to the Fairtrade minimum price. When the C-Price plus the differential for the conventional quality in question is higher than the Fairtrade minimum pricing, then we revert to a differential based pricing mechanism against the C-Price that mirrors our normal purchasing process.</w:t>
      </w:r>
    </w:p>
    <w:p>
      <w:pPr>
        <w:spacing w:after="0" w:line="18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Due to significant demand and limited supply, some origins, such as Sumatra and Ethiopia, will price their top grades of export beans on a flat price that is mostly divorced from the C-Price.</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purchase raw materials through importers who source green coffee and tea from multiple countries of origin around the world. For the year ended December 31, 2022, approximately 21% of our green coffee and none of our tea was sourced from Falcon and RTC. No other importer accounted for more than 10% of our coffee raw materials purchases. Related to tea raw materials purchases, one importer accounted for approximately 50% of our tea raw materials purchases.</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supply and price of green coffee and tea are subject to volatility and are influenced by numerous factors which are beyond our control and can be affected by factors such as weather, politics, currency fluctuations and economics within the countries that export coffee. For most, but not all of our customers, increases in the cost of raw materials can be passed on to our customers in the form of higher prices.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hedging strategy is a vital element of our business model as it allows us to fix raw materials costs for inventory needed to serve our customers and grow our business, while minimizing the margin volatility associated with fluctuations in commodities prices. While our derivatives strategy is designed to mitigate the impacts of changing prices, no strategy can eliminate pricing risks, and we would generally remain exposed to supply risk in the event of non-performance by the counterparties in any one of our physical contracts. Failure to properly execute an effective hedging strategy may materially adversely affect our business and operating results.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a rigorous Quality Assurance protocol to ensure that our raw materials meet both Company and customer specifications and therefore do not inhibit our ability to meet the finished goods specifications of our clients. Prior to taking ownership, we validate physical and sensory compliance of green coffee. We also check finished goods for packaging, labeling, physical, and sensory compliance with our internal and external specifications prior to shipment.</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maintain long-term partnerships with our vendors that include rigorous and integrated quality and transparency programs. We procure only the highest quality ingredients. Our supplier approval and monitoring programs ensure that we can consistently deliver and exceed our customers’ expectations.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coffee, tea, flavors, extracts, and ingredients industry is highly competitive. As a scaled global beverage solutions provider with capabilities across several product categories and industries served, we generally view our competition based on product lines and geography.</w:t>
      </w:r>
    </w:p>
    <w:p>
      <w:pPr>
        <w:spacing w:after="0" w:line="176" w:lineRule="exact"/>
        <w:rPr>
          <w:sz w:val="20"/>
          <w:szCs w:val="20"/>
          <w:color w:val="auto"/>
        </w:rPr>
      </w:pPr>
    </w:p>
    <w:p>
      <w:pPr>
        <w:ind w:left="720" w:right="279" w:hanging="386"/>
        <w:spacing w:after="0" w:line="27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coffee and tea industry, our products compete with Keurig Dr. Pepper Inc., Mother Parkers, Trilliant Food and Nutrition, TreeHouse Foods, Finlays, and Harris Tea Company.</w:t>
      </w:r>
    </w:p>
    <w:p>
      <w:pPr>
        <w:spacing w:after="0" w:line="1" w:lineRule="exact"/>
        <w:rPr>
          <w:rFonts w:ascii="Times New Roman" w:cs="Times New Roman" w:eastAsia="Times New Roman" w:hAnsi="Times New Roman"/>
          <w:sz w:val="18"/>
          <w:szCs w:val="18"/>
          <w:color w:val="auto"/>
        </w:rPr>
      </w:pPr>
    </w:p>
    <w:p>
      <w:pPr>
        <w:ind w:left="720" w:right="159" w:hanging="386"/>
        <w:spacing w:after="0" w:line="27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flavors, extracts, and ingredients industry, our products compete with Kerry Foods, Finlays, Javo Beverage Company, Givaudan, Symrise, International Flavors &amp; Fragrances, Inc., and Treatt.</w:t>
      </w:r>
    </w:p>
    <w:p>
      <w:pPr>
        <w:spacing w:after="0" w:line="1" w:lineRule="exact"/>
        <w:rPr>
          <w:rFonts w:ascii="Times New Roman" w:cs="Times New Roman" w:eastAsia="Times New Roman" w:hAnsi="Times New Roman"/>
          <w:sz w:val="18"/>
          <w:szCs w:val="18"/>
          <w:color w:val="auto"/>
        </w:rPr>
      </w:pPr>
    </w:p>
    <w:p>
      <w:pPr>
        <w:ind w:left="720" w:right="359" w:hanging="386"/>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international coffee and tea industry, our products compete with JDE Peet’s, Massimo Zanetti, and UCC Ueshima Coffee Company.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seek to differentiate ourselves from other providers by (i) sourcing coffee via traceable and transparent supply chains,</w:t>
      </w:r>
    </w:p>
    <w:p>
      <w:pPr>
        <w:spacing w:after="0" w:line="27" w:lineRule="exact"/>
        <w:rPr>
          <w:sz w:val="20"/>
          <w:szCs w:val="20"/>
          <w:color w:val="auto"/>
        </w:rPr>
      </w:pPr>
    </w:p>
    <w:p>
      <w:pPr>
        <w:ind w:left="320" w:hanging="270"/>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best-in-class product development and consumer insights across broad product offerings, and</w:t>
      </w:r>
    </w:p>
    <w:p>
      <w:pPr>
        <w:spacing w:after="0" w:line="9" w:lineRule="exact"/>
        <w:rPr>
          <w:rFonts w:ascii="Times New Roman" w:cs="Times New Roman" w:eastAsia="Times New Roman" w:hAnsi="Times New Roman"/>
          <w:sz w:val="18"/>
          <w:szCs w:val="18"/>
          <w:color w:val="auto"/>
        </w:rPr>
      </w:pPr>
    </w:p>
    <w:p>
      <w:pPr>
        <w:ind w:left="60" w:right="299" w:hanging="10"/>
        <w:spacing w:after="0" w:line="260"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large manufacturing footprint in varied geographic locations both in the U.S. and abroad which drives cost efficiencies due to scale and customer proximity to our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own several U.S. trademarks and service marks that have been registered with the United States Patent and Trademark Office. We also own other trademarks and service marks for which we have filed applications for U.S. registration. The duration of trademark registrations varies; however, trademarks are generally valid and may be renewed indefinitely as long as they are in use and/or their registrations are properly maintained. We believe our trademarks and service marks are integral to customer identification of our products. It is not possible to assess the impact of the loss of such identification. In addition, we own numerous registered domain names, and copyrights, trade secrets, proprietary technology, know-how, and other proprietary rights that are not registered.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The coffee and tea market is subject to some seasonal variations. Sales of hot coffee products are typically higher during the winter months compared to the summer months. Most of our customers define “coffee season” as mid-September through April. However, sales of cold brew, iced tea and extract products during the summer months helps mitigate the impact of this seasonality. In addition, the growing trend to “more than hot black coffee” is regulating seasonal variances.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left="60" w:right="299"/>
        <w:spacing w:after="0" w:line="289" w:lineRule="auto"/>
        <w:rPr>
          <w:sz w:val="20"/>
          <w:szCs w:val="20"/>
          <w:color w:val="auto"/>
        </w:rPr>
      </w:pPr>
      <w:r>
        <w:rPr>
          <w:rFonts w:ascii="Times New Roman" w:cs="Times New Roman" w:eastAsia="Times New Roman" w:hAnsi="Times New Roman"/>
          <w:sz w:val="17"/>
          <w:szCs w:val="17"/>
          <w:color w:val="auto"/>
        </w:rPr>
        <w:t>As of December 31, 2022, we had 1,327 employees located around the globe, of which 1,013 employees were located in the United States. Of our employees located in the United States, 579 were hourly production employees. Our non-U.S. workforce of 314 employees was employed in Rwanda, Germany, Malaysia, South Korea, Peru, England and Ethiopia.</w:t>
      </w:r>
    </w:p>
    <w:p>
      <w:pPr>
        <w:spacing w:after="0" w:line="15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Compensation and Rewards. </w:t>
      </w:r>
      <w:r>
        <w:rPr>
          <w:rFonts w:ascii="Times New Roman" w:cs="Times New Roman" w:eastAsia="Times New Roman" w:hAnsi="Times New Roman"/>
          <w:sz w:val="18"/>
          <w:szCs w:val="18"/>
          <w:color w:val="auto"/>
        </w:rPr>
        <w:t>We provide competitive compensation and benefits which include market-based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competitive for our geographies and our industry. We offer a full complement of health and welfare benefits such as health, dental, vision, life insurance, AD&amp;D and other provisions comparable to most manufacturing companies in our space. A 401(k)-retirement plan is offered.</w:t>
      </w:r>
    </w:p>
    <w:p>
      <w:pPr>
        <w:spacing w:after="0" w:line="11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Workforce Culture. </w:t>
      </w:r>
      <w:r>
        <w:rPr>
          <w:rFonts w:ascii="Times New Roman" w:cs="Times New Roman" w:eastAsia="Times New Roman" w:hAnsi="Times New Roman"/>
          <w:sz w:val="18"/>
          <w:szCs w:val="18"/>
          <w:color w:val="auto"/>
        </w:rPr>
        <w:t>We focus on building a workforce that is responsive to customer needs, attentive to being efficient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conscious for our financial stakeholders, and innovative in seeking to create new products and services in the industry. We actively recruit for diverse talent and seek to build a culture reflective of the desires and the needs of the customers we partner with and serve. We actively support equal opportunity employment, enjoy stable labor relations, and provide a working environment of equity and inclusion for all members of our workforce.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maintain a qualified staff of professionals to oversee, manage and apply all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food safety, environment safety, and workplace safety standards by agencies that audit our facilities throughout the United States.</w:t>
      </w:r>
    </w:p>
    <w:p>
      <w:pPr>
        <w:spacing w:after="0" w:line="106"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COVID-19 Mitigation. </w:t>
      </w:r>
      <w:r>
        <w:rPr>
          <w:rFonts w:ascii="Times New Roman" w:cs="Times New Roman" w:eastAsia="Times New Roman" w:hAnsi="Times New Roman"/>
          <w:sz w:val="18"/>
          <w:szCs w:val="18"/>
          <w:color w:val="auto"/>
        </w:rPr>
        <w:t>We have a COVID-19 response committee that monitors the impact of COVID-19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workforce’s health and on Company production. We responded to the pandemic by following generally accepted COVID-19 mitigation guidelines intended to ensure that personal protective equipment and distancing protocols are used in our production facilities across the entire enterprise. As a result, we have not experienced a material impact in workforce attendance, nor have we experienced a material impact on our ability to safely manufacture and deliver products to our customers.</w:t>
      </w:r>
    </w:p>
    <w:p>
      <w:pPr>
        <w:spacing w:after="0" w:line="11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To abate the spread of COVID-19 when individual cases are identified, employees are required to quarantine at home if there is contact, positive testing, and/or confirmed infection. To meet our production needs we schedule unaffected healthy employees to work overtime to cover staffing needs. Overtime is used primarily to cover increased product orders.</w:t>
      </w:r>
    </w:p>
    <w:p>
      <w:pPr>
        <w:spacing w:after="0" w:line="77" w:lineRule="exact"/>
        <w:rPr>
          <w:sz w:val="20"/>
          <w:szCs w:val="20"/>
          <w:color w:val="auto"/>
        </w:rPr>
      </w:pPr>
    </w:p>
    <w:p>
      <w:pPr>
        <w:ind w:left="60" w:right="1099"/>
        <w:spacing w:after="0" w:line="422" w:lineRule="auto"/>
        <w:rPr>
          <w:sz w:val="20"/>
          <w:szCs w:val="20"/>
          <w:color w:val="auto"/>
        </w:rPr>
      </w:pPr>
      <w:r>
        <w:rPr>
          <w:rFonts w:ascii="Times New Roman" w:cs="Times New Roman" w:eastAsia="Times New Roman" w:hAnsi="Times New Roman"/>
          <w:sz w:val="18"/>
          <w:szCs w:val="18"/>
          <w:color w:val="auto"/>
        </w:rPr>
        <w:t xml:space="preserve">We believe we are prepared to address and follow government mandates that might become law in the future. </w:t>
      </w:r>
      <w:r>
        <w:rPr>
          <w:rFonts w:ascii="Times New Roman" w:cs="Times New Roman" w:eastAsia="Times New Roman" w:hAnsi="Times New Roman"/>
          <w:sz w:val="18"/>
          <w:szCs w:val="18"/>
          <w:b w:val="1"/>
          <w:bCs w:val="1"/>
          <w:color w:val="auto"/>
        </w:rPr>
        <w:t>Regulatory Environment</w:t>
      </w:r>
    </w:p>
    <w:p>
      <w:pPr>
        <w:spacing w:after="0" w:line="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As a leading manufacturer of coffee, tea, flavors, extracts, and ingredients, we comply with the Good Manufacturing Practices promulgated by the FDA as part of our commitment to produce safe and high-quality beverage products.  We are registered with the FDA, and we satisfy all legal and compliance requirements under the Food Safety Modernization Act (FSMA) and applicable state regulations. Our facilities are certified under the GFSI schemes and operate under a Quality Management System to assure that we comply with all regulatory and customer requirements. Our quality management systems are periodically reviewed using an internal audit system to assure that our employees understand our commitment to food safety and high quality. We are also subject to the general industry requirements applicable to manufacturers, including the safety standards of the Occupational Safety and Health Administration and the environmental standards of the Environmental Protection Agency.</w:t>
      </w:r>
    </w:p>
    <w:p>
      <w:pPr>
        <w:spacing w:after="0" w:line="107"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In addition to regulatory compliance, our comprehensive compliance program is designed to assure that our business is conducted in accordance with the highest ethical standards. We regularly conduct training on such matters as the Foreign Corrupt Practices Act so that our employees understand what is expected of them and how to raise issues of concern.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website address is www.westrockcoffee.com.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the SEC. Our Exchange Act Filings can also be found at www.sec.gov.</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variety of risks, some of which are specific to us and some of which are inherent to the industry in which we operate. The following risks and other information in this report or incorporated in this report by reference, including our consolidated financial statements and related notes and “Management’s Discussion and Analysis of Financial Condition and Results of Operations,”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Annual Report on Form 10-K is qualified in its entirety by all these risk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net losses and may not achieve or maintain profitability in the future.</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retain key personnel or recruit qualified personnel could adversely impact us.</w:t>
      </w:r>
    </w:p>
    <w:p>
      <w:pPr>
        <w:spacing w:after="0" w:line="49" w:lineRule="exact"/>
        <w:rPr>
          <w:rFonts w:ascii="Times New Roman" w:cs="Times New Roman" w:eastAsia="Times New Roman" w:hAnsi="Times New Roman"/>
          <w:sz w:val="18"/>
          <w:szCs w:val="18"/>
          <w:color w:val="auto"/>
        </w:rPr>
      </w:pPr>
    </w:p>
    <w:p>
      <w:pPr>
        <w:ind w:left="720" w:right="199" w:hanging="386"/>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have written contracts with certain of our co-manufacturers. The loss of these co-manufacturers or the inability of these co-manufacturers to fulfill our orders could have a material adverse effect on our business.</w:t>
      </w:r>
    </w:p>
    <w:p>
      <w:pPr>
        <w:spacing w:after="0" w:line="2" w:lineRule="exact"/>
        <w:rPr>
          <w:rFonts w:ascii="Times New Roman" w:cs="Times New Roman" w:eastAsia="Times New Roman" w:hAnsi="Times New Roman"/>
          <w:sz w:val="18"/>
          <w:szCs w:val="18"/>
          <w:color w:val="auto"/>
        </w:rPr>
      </w:pPr>
    </w:p>
    <w:p>
      <w:pPr>
        <w:ind w:left="720" w:right="459" w:hanging="386"/>
        <w:spacing w:after="0" w:line="27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among our customers or the loss of any key customer could negatively affect our sales, profitability and future growth.</w:t>
      </w:r>
    </w:p>
    <w:p>
      <w:pPr>
        <w:spacing w:after="0" w:line="1" w:lineRule="exact"/>
        <w:rPr>
          <w:rFonts w:ascii="Times New Roman" w:cs="Times New Roman" w:eastAsia="Times New Roman" w:hAnsi="Times New Roman"/>
          <w:sz w:val="18"/>
          <w:szCs w:val="18"/>
          <w:color w:val="auto"/>
        </w:rPr>
      </w:pPr>
    </w:p>
    <w:p>
      <w:pPr>
        <w:ind w:left="720" w:right="659" w:hanging="386"/>
        <w:spacing w:after="0" w:line="27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anticipate customer preferences and successfully develop new products, or if we fail to effectively manage the introduction of new products, our business will suffer.</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36" w:lineRule="exact"/>
        <w:rPr>
          <w:rFonts w:ascii="Times New Roman" w:cs="Times New Roman" w:eastAsia="Times New Roman" w:hAnsi="Times New Roman"/>
          <w:sz w:val="18"/>
          <w:szCs w:val="18"/>
          <w:color w:val="auto"/>
        </w:rPr>
      </w:pPr>
    </w:p>
    <w:p>
      <w:pPr>
        <w:jc w:val="both"/>
        <w:ind w:left="720" w:right="9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accounts receivable represents a significant portion of our current assets and a substantial portion of our trade accounts receivables relate principally to a limited number of customers, increasing our exposure to bad debts and counterparty risk.</w:t>
      </w: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overestimated the size of our addressable market, our future growth opportunities may be limited.</w:t>
      </w:r>
    </w:p>
    <w:p>
      <w:pPr>
        <w:spacing w:after="0" w:line="49" w:lineRule="exact"/>
        <w:rPr>
          <w:rFonts w:ascii="Times New Roman" w:cs="Times New Roman" w:eastAsia="Times New Roman" w:hAnsi="Times New Roman"/>
          <w:sz w:val="18"/>
          <w:szCs w:val="18"/>
          <w:color w:val="auto"/>
        </w:rPr>
      </w:pPr>
    </w:p>
    <w:p>
      <w:pPr>
        <w:jc w:val="both"/>
        <w:ind w:left="720" w:right="259" w:hanging="386"/>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U.S. and international laws and regulations that could adversely affect our business, including anti-corruption laws and trade controls laws, and noncompliance with such laws could subject us to criminal or civil liability.</w:t>
      </w:r>
    </w:p>
    <w:p>
      <w:pPr>
        <w:spacing w:after="0" w:line="2" w:lineRule="exact"/>
        <w:rPr>
          <w:rFonts w:ascii="Times New Roman" w:cs="Times New Roman" w:eastAsia="Times New Roman" w:hAnsi="Times New Roman"/>
          <w:sz w:val="18"/>
          <w:szCs w:val="18"/>
          <w:color w:val="auto"/>
        </w:rPr>
      </w:pPr>
    </w:p>
    <w:p>
      <w:pPr>
        <w:ind w:left="720" w:right="319" w:hanging="386"/>
        <w:spacing w:after="0" w:line="27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projected benefits or successfully integrate future acquisitions and our M&amp;A activities may divert our management’s attention.</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manage the growth and increased complexity of our business.</w:t>
      </w:r>
    </w:p>
    <w:p>
      <w:pPr>
        <w:spacing w:after="0" w:line="49" w:lineRule="exact"/>
        <w:rPr>
          <w:rFonts w:ascii="Times New Roman" w:cs="Times New Roman" w:eastAsia="Times New Roman" w:hAnsi="Times New Roman"/>
          <w:sz w:val="18"/>
          <w:szCs w:val="18"/>
          <w:color w:val="auto"/>
        </w:rPr>
      </w:pPr>
    </w:p>
    <w:p>
      <w:pPr>
        <w:ind w:left="720" w:right="55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adversely affect our financial condition and cash flow and may make it difficult to project future results and meet the earnings expectations of securities analysts or investors.</w:t>
      </w:r>
    </w:p>
    <w:p>
      <w:pPr>
        <w:ind w:left="720" w:right="7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production and distribution facilities, or failure to complete the construction of our new production facility in Conway, Arkansas on time or at all, could affect our ability to manufacture or distribute products and could adversely affect our business and sales.</w:t>
      </w: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disputes could lead us to incur significant liabilities or harm our reputation.</w:t>
      </w:r>
    </w:p>
    <w:p>
      <w:pPr>
        <w:spacing w:after="0" w:line="49" w:lineRule="exact"/>
        <w:rPr>
          <w:rFonts w:ascii="Times New Roman" w:cs="Times New Roman" w:eastAsia="Times New Roman" w:hAnsi="Times New Roman"/>
          <w:sz w:val="18"/>
          <w:szCs w:val="18"/>
          <w:color w:val="auto"/>
        </w:rPr>
      </w:pPr>
    </w:p>
    <w:p>
      <w:pPr>
        <w:ind w:left="720" w:right="73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applicable transfer pricing and similar regulations may harm our business and financial results.</w:t>
      </w:r>
    </w:p>
    <w:p>
      <w:pPr>
        <w:ind w:left="720" w:right="199" w:hanging="386"/>
        <w:spacing w:after="0" w:line="273" w:lineRule="auto"/>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against software and hardware vulnerabilities, service interruptions, data corruption, cyber-based attacks, ransomware or security breaches, or if we fail to comply with our commitments and assurances regarding the privacy and security of personal, financial or other confidential information relating to our customers, suppliers, employees or business, including through unauthorized access, theft, use or destruction of such data, our operations could be disrupted, our ability to provide our products could be interrupted, our reputation may be harmed and we may be exposed to liability and loss of customers and business.</w:t>
      </w:r>
    </w:p>
    <w:p>
      <w:pPr>
        <w:spacing w:after="0" w:line="2" w:lineRule="exact"/>
        <w:rPr>
          <w:rFonts w:ascii="Times New Roman" w:cs="Times New Roman" w:eastAsia="Times New Roman" w:hAnsi="Times New Roman"/>
          <w:sz w:val="17"/>
          <w:szCs w:val="17"/>
          <w:color w:val="auto"/>
        </w:rPr>
      </w:pP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intellectual property disputes or be forced to defend our intellectual property rights.</w:t>
      </w:r>
    </w:p>
    <w:p>
      <w:pPr>
        <w:spacing w:after="0" w:line="49" w:lineRule="exact"/>
        <w:rPr>
          <w:rFonts w:ascii="Times New Roman" w:cs="Times New Roman" w:eastAsia="Times New Roman" w:hAnsi="Times New Roman"/>
          <w:sz w:val="18"/>
          <w:szCs w:val="18"/>
          <w:color w:val="auto"/>
        </w:rPr>
      </w:pPr>
    </w:p>
    <w:p>
      <w:pPr>
        <w:ind w:left="720" w:right="17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levels of indebtedness could materially and adversely affect our financial position, including reducing funds available for other business purposes and reducing our operational flexibility.</w:t>
      </w:r>
    </w:p>
    <w:p>
      <w:pPr>
        <w:ind w:left="720" w:hanging="38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contains covenants that may restrict our ability to operate our business.</w:t>
      </w:r>
    </w:p>
    <w:p>
      <w:pPr>
        <w:spacing w:after="0" w:line="49" w:lineRule="exact"/>
        <w:rPr>
          <w:rFonts w:ascii="Times New Roman" w:cs="Times New Roman" w:eastAsia="Times New Roman" w:hAnsi="Times New Roman"/>
          <w:sz w:val="18"/>
          <w:szCs w:val="18"/>
          <w:color w:val="auto"/>
        </w:rPr>
      </w:pPr>
    </w:p>
    <w:p>
      <w:pPr>
        <w:ind w:left="720" w:right="499" w:hanging="386"/>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additional capital, including under our Revolving Credit Facility if the financial institutions that are lenders under the Revolving Credit Facility fail to extend credit under it, when needed to operate and grow our business.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86"/>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redemption rights by the holders of our Series A convertible preferred stock, par value $0.01 per share, (the “Series A Preferred Shares”) may adversely affect the cash that we have available for other purposes and our ability to execute our business strategy.</w:t>
      </w:r>
    </w:p>
    <w:p>
      <w:pPr>
        <w:ind w:left="720" w:right="579" w:hanging="386"/>
        <w:spacing w:after="0" w:line="27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assumptions used to value our goodwill or other intangible assets, or the impairment of our goodwill or intangible assets, could negatively impact our financial condition and operating results.</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and reserves may be insufficient to cover future claims and liabilities.</w:t>
      </w:r>
    </w:p>
    <w:p>
      <w:pPr>
        <w:spacing w:after="0" w:line="36" w:lineRule="exact"/>
        <w:rPr>
          <w:rFonts w:ascii="Times New Roman" w:cs="Times New Roman" w:eastAsia="Times New Roman" w:hAnsi="Times New Roman"/>
          <w:sz w:val="18"/>
          <w:szCs w:val="18"/>
          <w:color w:val="auto"/>
        </w:rPr>
      </w:pPr>
    </w:p>
    <w:p>
      <w:pPr>
        <w:ind w:left="720" w:right="339" w:hanging="386"/>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income tax liabilities and changes in tax laws may adversely affect us, and the IRS, other tax authorities, or a court may disagree with our tax positions, which may result in adverse effects on our financial condition or the value of our Common Shares.</w:t>
      </w:r>
    </w:p>
    <w:p>
      <w:pPr>
        <w:ind w:left="720" w:right="139" w:hanging="386"/>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has identified, and may identify additional, material weaknesses in its internal control over financial reporting, which may result in material misstatements of Westrock’s consolidated financial statements, cause Westrock to fail to meet its periodic reporting obligations or cause investors to lose confidence in accuracy of our financial reports.</w:t>
      </w:r>
    </w:p>
    <w:p>
      <w:pPr>
        <w:spacing w:after="0" w:line="4" w:lineRule="exact"/>
        <w:rPr>
          <w:rFonts w:ascii="Times New Roman" w:cs="Times New Roman" w:eastAsia="Times New Roman" w:hAnsi="Times New Roman"/>
          <w:sz w:val="18"/>
          <w:szCs w:val="18"/>
          <w:color w:val="auto"/>
        </w:rPr>
      </w:pPr>
    </w:p>
    <w:p>
      <w:pPr>
        <w:ind w:left="720" w:right="659" w:hanging="386"/>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a failure to comply with any laws and regulations, may adversely affect Westrock’s business, investments and results of operations.</w:t>
      </w:r>
    </w:p>
    <w:p>
      <w:pPr>
        <w:ind w:left="720" w:right="719" w:hanging="386"/>
        <w:spacing w:after="0" w:line="27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Westrock’s financial statements and related disclosures could be adversely affected if the judgments, assumptions or estimates used in Westrock’s critical accounting policies are inaccurate.</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management have significant control over our business.</w:t>
      </w:r>
    </w:p>
    <w:p>
      <w:pPr>
        <w:spacing w:after="0" w:line="49" w:lineRule="exact"/>
        <w:rPr>
          <w:rFonts w:ascii="Times New Roman" w:cs="Times New Roman" w:eastAsia="Times New Roman" w:hAnsi="Times New Roman"/>
          <w:sz w:val="18"/>
          <w:szCs w:val="18"/>
          <w:color w:val="auto"/>
        </w:rPr>
      </w:pPr>
    </w:p>
    <w:p>
      <w:pPr>
        <w:ind w:left="720" w:right="599" w:hanging="386"/>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provisions in our certificate of incorporation and bylaws, the Investor Rights Agreement and of Delaware law that may prevent or delay attempts to acquire a controlling interest in Westrock, which could decrease the trading price of the Common Shares.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229" w:lineRule="exact"/>
        <w:rPr>
          <w:sz w:val="20"/>
          <w:szCs w:val="20"/>
          <w:color w:val="auto"/>
        </w:rPr>
      </w:pPr>
    </w:p>
    <w:p>
      <w:pPr>
        <w:ind w:left="720" w:right="319" w:hanging="386"/>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fluctuations in the cost of green coffee and other key raw materials and certain of our ingredients and packaging materials, or disruption in our supply chain, could negatively affect our margins and profitability.</w:t>
      </w:r>
    </w:p>
    <w:p>
      <w:pPr>
        <w:ind w:left="720" w:right="279" w:hanging="386"/>
        <w:spacing w:after="0" w:line="27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the interruption of supply and increased costs as a result of our reliance on third-party transportation carriers for shipment of our products.</w:t>
      </w:r>
    </w:p>
    <w:p>
      <w:pPr>
        <w:spacing w:after="0" w:line="1" w:lineRule="exact"/>
        <w:rPr>
          <w:rFonts w:ascii="Times New Roman" w:cs="Times New Roman" w:eastAsia="Times New Roman" w:hAnsi="Times New Roman"/>
          <w:sz w:val="18"/>
          <w:szCs w:val="18"/>
          <w:color w:val="auto"/>
        </w:rPr>
      </w:pPr>
    </w:p>
    <w:p>
      <w:pPr>
        <w:ind w:left="720" w:right="99" w:hanging="386"/>
        <w:spacing w:after="0" w:line="258"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coffee, liquid extract consumables or other beverage channels may adversely affect sales of our products. Our inability to maintain or grow market share through continued differentiation of our products and competitive pricing could adversely affect our completive position, customer retention, financial condition, operating results and cash flow.</w:t>
      </w:r>
    </w:p>
    <w:p>
      <w:pPr>
        <w:ind w:left="720" w:right="559" w:hanging="386"/>
        <w:spacing w:after="0" w:line="27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problems or food safety issues could adversely affect our sales and brand reputation, lead to product recalls or result in product liability claims.</w:t>
      </w:r>
    </w:p>
    <w:p>
      <w:pPr>
        <w:spacing w:after="0" w:line="1" w:lineRule="exact"/>
        <w:rPr>
          <w:rFonts w:ascii="Times New Roman" w:cs="Times New Roman" w:eastAsia="Times New Roman" w:hAnsi="Times New Roman"/>
          <w:sz w:val="18"/>
          <w:szCs w:val="18"/>
          <w:color w:val="auto"/>
        </w:rPr>
      </w:pPr>
    </w:p>
    <w:p>
      <w:pPr>
        <w:ind w:left="720" w:right="199" w:hanging="386"/>
        <w:spacing w:after="0" w:line="27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patterns, and water scarcity could have a material adverse effect on our business and results of operations.</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fluctuate as a result of seasonality.</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General Economic Conditions</w:t>
      </w:r>
    </w:p>
    <w:p>
      <w:pPr>
        <w:spacing w:after="0" w:line="229" w:lineRule="exact"/>
        <w:rPr>
          <w:sz w:val="20"/>
          <w:szCs w:val="20"/>
          <w:color w:val="auto"/>
        </w:rPr>
      </w:pPr>
    </w:p>
    <w:p>
      <w:pPr>
        <w:ind w:left="720" w:right="819" w:hanging="386"/>
        <w:spacing w:after="0" w:line="27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resurgence of the novel coronavirus, or COVID-19, and emergence of new variants of the virus could materially adversely affect our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319" w:hanging="386"/>
        <w:spacing w:after="0" w:line="27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profits depend on the level of customer spending for discretionary items, which is sensitive to general economic conditions and other factors.</w:t>
      </w:r>
    </w:p>
    <w:p>
      <w:pPr>
        <w:spacing w:after="0" w:line="1" w:lineRule="exact"/>
        <w:rPr>
          <w:rFonts w:ascii="Times New Roman" w:cs="Times New Roman" w:eastAsia="Times New Roman" w:hAnsi="Times New Roman"/>
          <w:sz w:val="18"/>
          <w:szCs w:val="18"/>
          <w:color w:val="auto"/>
        </w:rPr>
      </w:pPr>
    </w:p>
    <w:p>
      <w:pPr>
        <w:ind w:left="720" w:right="399" w:hanging="386"/>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businesses of our suppliers are subject to macroeconomic conditions that, in the event of deterioration, could adversely affect our financial condition, operating results and cash flow.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may incur net losses in the future, and may not achieve or maintain profitability in the future.</w:t>
      </w:r>
    </w:p>
    <w:p>
      <w:pPr>
        <w:spacing w:after="0" w:line="15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2022, 2021 and 2020, we incurred net losses of $55.5 million, $21.3 million and $128.9 million, respectively. These losses could continue for the next several years as we expand our product offering and continue to scale our commercial operations. Even if we are able to increase sales of our products, there can be no assurance that we will ever be profitable.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incur significant net losses for the foreseeable future as we:</w:t>
      </w:r>
    </w:p>
    <w:p>
      <w:pPr>
        <w:spacing w:after="0" w:line="27" w:lineRule="exact"/>
        <w:rPr>
          <w:sz w:val="20"/>
          <w:szCs w:val="20"/>
          <w:color w:val="auto"/>
        </w:rPr>
      </w:pPr>
    </w:p>
    <w:p>
      <w:pPr>
        <w:ind w:left="720" w:hanging="386"/>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to improve the operations of our business;</w:t>
      </w:r>
    </w:p>
    <w:p>
      <w:pPr>
        <w:spacing w:after="0" w:line="31" w:lineRule="exact"/>
        <w:rPr>
          <w:rFonts w:ascii="Times New Roman" w:cs="Times New Roman" w:eastAsia="Times New Roman" w:hAnsi="Times New Roman"/>
          <w:sz w:val="18"/>
          <w:szCs w:val="18"/>
          <w:color w:val="auto"/>
        </w:rPr>
      </w:pPr>
    </w:p>
    <w:p>
      <w:pPr>
        <w:ind w:left="720" w:right="939" w:hanging="386"/>
        <w:spacing w:after="0" w:line="273"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functions, including expansion of our manufacturing and distribution capabilities;</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compliance requirements in connection with being a public company; and</w:t>
      </w:r>
    </w:p>
    <w:p>
      <w:pPr>
        <w:spacing w:after="0" w:line="36"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and manufacturing.</w:t>
      </w:r>
    </w:p>
    <w:p>
      <w:pPr>
        <w:spacing w:after="0" w:line="26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If our products do not achieve sufficient market acceptance, our revenue growth rate may be slower than we expect, we may not be able to increase revenue enough to offset the increase in operating expenses resulting from investments, and we will not become profitable. There can be no assurance that we will ever achieve or sustain profitability.</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key personnel or recruit qualified personnel could adversely impact our financial condition, results of operations and cash flow.</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success depends on the contributions of key personnel and a consistent workforce, including production workers, support staff and executive team members. The competition for talent in the markets in which we compete is extremely high and candidates’ preferences and expectations are evolving. We must continue to recruit, retain, motivate and develop management and other employees sufficiently to maintain our current business and support our projected growth and strategic initiatives. This may require that we adapt to evolving labor conditions and make significant investments in our employees, including through coaching, training or other professional development activities. Activities related to identifying, recruiting, hiring and integrating qualified individuals require significant time and attention. We may also need to invest significant amounts of cash and equity to attract talented new employees, the returns on which we may never fully realize. In this competitive environment, our business could be adversely affected by increased labor costs, including wages and benefits, cost increases triggered by compensation-related regulatory actions concerning wages, worktime scheduling and benefits; increased healthcare and workers’ compensation insurance costs; increased wages and costs of other benefits necessary to attract and retain high quality employees with the appropriate skill sets and increased wages, benefits and costs related to any COVID-19 resurgence. In addition, our wages and benefits programs may be insufficient to attract and retain talented employees.</w:t>
      </w:r>
    </w:p>
    <w:p>
      <w:pPr>
        <w:spacing w:after="0" w:line="19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ability to achieve our key strategic objectives may be adversely affected if we are unable to successfully retain our talented employees, which may impact our financial condition and operating results. For example, our founder, Mr. Scott T. Ford, is an important leader for the business and any loss of service resulting from his absence would disrupt our business and likely adversely impact our operating performance. Further, any unplanned turnover or failure to develop or implement an adequate succession plan for our senior management and other key employees, could deplete our institutional knowledge, erode our competitive advantage, and negatively affect our business, financial condition and operating results. We do not maintain key person life insurance policies on any of our executive officers.</w:t>
      </w:r>
    </w:p>
    <w:p>
      <w:pPr>
        <w:spacing w:after="0" w:line="18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written contracts with certain of our co-manufacturers. The loss of these co-manufacturers or the inability of these co-manufacturers to fulfill our orders would adversely affect our ability to make timely deliveries of our products and could have a material adverse effect on our business.</w:t>
      </w:r>
    </w:p>
    <w:p>
      <w:pPr>
        <w:spacing w:after="0" w:line="17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7.1%, 7.8% and 9.6% of our revenue was derived from products manufactured at manufacturing facilities owned and operated by our co-manufacturers. We do not currently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have written manufacturing contracts with co-manufacturers who represented 5.0% of our revenue for the year ended December 31, 2022. In the absence of a written contract, any of such co-manufacturers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83"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83" w:lineRule="exact"/>
        <w:rPr>
          <w:sz w:val="20"/>
          <w:szCs w:val="20"/>
          <w:color w:val="auto"/>
        </w:rPr>
      </w:pPr>
    </w:p>
    <w:p>
      <w:pPr>
        <w:jc w:val="both"/>
        <w:ind w:left="60" w:right="479"/>
        <w:spacing w:after="0" w:line="272" w:lineRule="auto"/>
        <w:rPr>
          <w:sz w:val="20"/>
          <w:szCs w:val="20"/>
          <w:color w:val="auto"/>
        </w:rPr>
      </w:pPr>
      <w:r>
        <w:rPr>
          <w:rFonts w:ascii="Times New Roman" w:cs="Times New Roman" w:eastAsia="Times New Roman" w:hAnsi="Times New Roman"/>
          <w:sz w:val="17"/>
          <w:szCs w:val="17"/>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w:t>
      </w:r>
    </w:p>
    <w:p>
      <w:pPr>
        <w:spacing w:after="0" w:line="2"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Therefore, the loss of one or more co-manufacturers, any disruption or delay at a co-manufacturer or any failure to identify and engage co-manufacturers for new products and product extensions could delay, postpone or reduce production of our products, which could have a material adverse effect on our business, results of operations and financial condition.</w:t>
      </w:r>
    </w:p>
    <w:p>
      <w:pPr>
        <w:spacing w:after="0" w:line="165"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consolidation among our customers or the loss of any key customer could negatively affect our sales, profitability and future growth.</w:t>
      </w:r>
    </w:p>
    <w:p>
      <w:pPr>
        <w:spacing w:after="0" w:line="15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have a number of large national account customers and the loss of or reduction in sales to one or more of them would likely have a material adverse effect on our operating results. For the fiscal years ended December 31, 2022, 2021 and 2020, our top five customers accounted for approximately 37%, 35% and 34%, respectively, of our net sales. To the extent that we do not have written contracts with customers, they can stop purchasing our products at any time without penalty and are free to purchase products from our competitors. There can be no assurance that our customers will continue to purchase our products in the same mix or quantities or on the same terms as they have in the past. Our customers may also take actions that we cannot control or anticipate, such as changing their business strategy or introducing products that may compete with ours.</w:t>
      </w:r>
    </w:p>
    <w:p>
      <w:pPr>
        <w:spacing w:after="0" w:line="192"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Additionally, industry consolidation has generally led to our customers becoming larger and more sophisticated buyers of our products, leveraging their buying power and negotiating strength to improve their profitability through more favorable contractual terms. To the extent we provide contractual concessions such as lower prices or more favorable trade terms, our margins would be reduced. Over time, our inability to extend such concessions may negatively impact our sales revenue.</w:t>
      </w:r>
    </w:p>
    <w:p>
      <w:pPr>
        <w:spacing w:after="0" w:line="3"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Our customers may also face financial difficulties, bankruptcy or other business disruptions that may affect their ability to pay for our products, which could adversely affect our sales and profitability.</w:t>
      </w:r>
    </w:p>
    <w:p>
      <w:pPr>
        <w:spacing w:after="0" w:line="177"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customer preferences and successfully develop new products, or if we fail to effectively manage the introduction of new products, our business will suffer.</w:t>
      </w:r>
    </w:p>
    <w:p>
      <w:pPr>
        <w:spacing w:after="0" w:line="15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business depends on our ability to satisfy our customers with our beverage products. In order for us to maintain or improve Westrock’s operating results and grow its revenue, it is important that our customers continue purchasing our products. Our customers generally have no obligation to continue or otherwise extend their purchasing, and there can be no assurance that our customers will continue or otherwise extend their purchasing for similar periods or for the same amount of our products.</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rate at which we retain our customers may decline or fluctuate as a result of a number of factors, including our end-use customers’ changing preferences, the shift among millennial coffee drinkers from hot brew towards cold brew and extracts (or any reversion thereof), satisfaction with our products and their prices, the prices of competing products, mergers and acquisitions affecting our direct customers, the effects of global economic conditions, and reductions in customers’ spending levels. If our customers do not continue purchasing our products, our revenues would decline, and we may not realize improved operating results from our customer base.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accounts receivable represents a significant portion of our current assets and a substantial portion of our trade accounts receivables relate principally to a limited number of customers, increasing our exposure to bad debts and counterparty risk, which could potentially have a material adverse result on our results of operations.</w:t>
      </w:r>
    </w:p>
    <w:p>
      <w:pPr>
        <w:spacing w:after="0" w:line="17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significant portion of our trade accounts receivable are from five customers, which represented approximately 54% and 35% of our trade accounts receivable for the years ended December 31, 2022 and 2021, respectively. The concentration of our accounts receivable across a limited number of parties subjects us to individual counterparty and credit risk as these parties may breach our agreement, claim that we have breached the agreement, become insolvent and/or declare bankruptcy, thereby delaying or reducing our collection of receivables or rendering collection impossible altogether. Some of these parties use third-party distributors or do business through a network of affiliate entities which can make collection efforts more challenging and, at times collections may be economically unfeasible. Adverse changes in general economic conditions and/or contraction in global credit markets could lead to liquidity problems among our debtors. This could increase our exposure to losses from bad debts and have a materially adverse effect on our business, financial condition and results of operations.</w:t>
      </w:r>
    </w:p>
    <w:p>
      <w:pPr>
        <w:spacing w:after="0" w:line="190"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total addressable market in the United States is calculated based on an estimated percentage of households that purchase coffee products at least once per year, which we generally estimate based on internal and third-party market research, historical surveys and interviews with market participants. As a result, our addressable market is subject to significant uncertainty and is based on assumptions that may not prove to be accurate. Our estimates are based, in part, on third-party reports and are subject to significant assumptions and estimates. These estimates, as well as the estimates relating to the size and expected growth of the markets in which we operate, and our penetration of those markets, may change or prove to be inaccurate. While we believe that the information on which we base our addressable market estimates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or the size of any of the various ancillary markets in which we operate, proves to be inaccurate, our future growth opportunities may be limited, and there could be a material adverse effect on our business, financial condition and results of operations.</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our continued penetration and expansion into additional markets, and we may not be successful in doing so.</w:t>
      </w:r>
    </w:p>
    <w:p>
      <w:pPr>
        <w:spacing w:after="0" w:line="159"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We believe that our future growth depends not only on serving existing customers, but also on continuing to get new customers and expanding our distribution base in the United States and internationally. In new geographic markets, we may face challenges that are different from those we currently encounter, including competitive, merchandising, distribution, hiring, legal and regulatory, and other difficulties. Although we continue to evaluate sales and marketing efforts and other strategies to expand our supplier, customer and distribution bases, there is no assurance that we will be successful. If we are not successful, this could have a material adverse effect on our business, financial condition and results of operations.</w:t>
      </w:r>
    </w:p>
    <w:p>
      <w:pPr>
        <w:spacing w:after="0" w:line="16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international laws and regulations that could adversely affect our business, including anti-corruption laws and trade controls laws, and noncompliance with such laws could subject us to criminal or civil liability.</w:t>
      </w:r>
    </w:p>
    <w:p>
      <w:pPr>
        <w:spacing w:after="0" w:line="17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that affect how we conduct our business, including the manufacturing, safety, sourcing, labeling, storing, transportation, marketing, advertising, distribution and sale of our products, our relations with distributors and retailers, and our employment, environmental, privacy, health and trade practices. These laws and regulations and interpretations thereof are subject to change as a result of political, economic or social events. Any new laws and regulations or changes in existing laws or their interpretations could result in</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increased compliance costs, capital expenditures, incremental investments and other financial obligations for us and our business partners, which could affect our profitability.</w:t>
      </w:r>
    </w:p>
    <w:p>
      <w:pPr>
        <w:spacing w:after="0" w:line="16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Additionally, our expanding international business will also expose us to additional regulatory regimes, which may be very different from the ones we are used to complying with domestically, and these foreign laws may occasionally conflict with domestic laws. Aside from the regulatory risks of doing business in foreign countries, our business in these countries is also subject to certain U.S. laws, regulations and policies, including the U.S. Foreign Corrupt Practices Act, or “FCPA,” as well as trade control laws such as economic sanctions, customs and import laws, and export control laws and regulations. The FCPA generally prohibits companies from making direct or indirect improper payments to non-U.S. government officials for the purpose of obtaining or retaining business or obtaining an improper business advantage. Both the SEC and U.S. Department of Justice have aggressively enforced the FCPA in recent years. Our operations in foreign countries may place us in contact with persons who may be considered “foreign officials” under the FCPA, resulting in greater risk of potential violations of the FCPA (or other applicable public corruption regimes). We also have activities in jurisdictions that are perceived to present heightened risks of public corruption. The FCPA also requires that we keep accurate books and records and maintain a system of adequate internal controls. In addition to the FCPA’s prohibitions on public corruption, the UK Bribery Act 2010, the Malaysian Anti-Corruption Commission Act 2009, and other anti-corruption laws that could apply to our international activities also prohibit commercial bribery and requesting or accepting bribes. U.S. trade control laws prohibit certain transactions and dealings involving sanctioned countries, governments, persons, without a license or other appropriate authorization. As we increase our international sales and business, our risks of non-compliance with the FCPA and U.S. trade control laws may increase. Although we have implemented policies and procedures designed to ensure that we, our employees and our intermediaries comply with the FCPA, other applicable anti-corruption or anti-bribery laws, and applicable trade control laws, there is no assurance that such policies or procedures will prevent illegal acts by our employees or intermediaries, or protect us against liability under the FCPA, other anti-corruption regimes, or trade sanctions laws.</w:t>
      </w:r>
    </w:p>
    <w:p>
      <w:pPr>
        <w:spacing w:after="0" w:line="188"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Our business must also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Changes in international tax treaties or international trade policy, or the imposition of increased or new tariffs, quotas or trade barriers on key commodities, could also adversely affect our business.</w:t>
      </w:r>
    </w:p>
    <w:p>
      <w:pPr>
        <w:spacing w:after="0" w:line="162"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Violations of these laws or regulations could have a material adverse effect on us, by imposing substantial financial penalties or significant operational limitations, diverting management’s attention and resources and incurring significant defense costs and other professional fees. Investigations of potential violations of these laws by local, state, federal or foreign authorities could also harm our reputation and have an adverse impact on our business, financial condition and results of operations.</w:t>
      </w:r>
    </w:p>
    <w:p>
      <w:pPr>
        <w:spacing w:after="0" w:line="17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companies, which can divert our management’s attention and we may also be unable to integrate such businesses or identify and achieve their projected benefits.</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future success will depend, in part, on our ability to grow in the face of changing customer demands and competition. A core part of our strategy is to grow through acquisitions. We successfully completed the acquisition of S&amp;D Coffee, Inc. (“S&amp;D”) in February 2020, our de-SPAC merger transaction with Riverview in August 2022 and our acquisition of Kohana Coffee in November 2022, and we expect to pursue additional acquisitions. However, we may be unable to identify and consummate additional acquisitions, and we may incur significant transaction costs for acquisitions that we do not complete. Furthermore, the identification of suitable acquisition candidates can be difficult, time-consuming and costly, and we may not complete acquisitions on favorable terms, if at all. Such acquisitions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disrupt our ongoing business operations, divert management from their primary responsibilities, increase our expenses and subject us to increased regulatory requirements. Risks we face in connection with acquisitions include:</w:t>
      </w:r>
    </w:p>
    <w:p>
      <w:pPr>
        <w:spacing w:after="0" w:line="162" w:lineRule="exact"/>
        <w:rPr>
          <w:sz w:val="20"/>
          <w:szCs w:val="20"/>
          <w:color w:val="auto"/>
        </w:rPr>
      </w:pPr>
    </w:p>
    <w:p>
      <w:pPr>
        <w:ind w:left="720" w:right="239" w:hanging="386"/>
        <w:spacing w:after="0" w:line="273"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charges or assumption of debt or other liabilities that could result in adverse tax consequences that negatively affect our operating results;</w:t>
      </w:r>
    </w:p>
    <w:p>
      <w:pPr>
        <w:spacing w:after="0" w:line="1" w:lineRule="exact"/>
        <w:rPr>
          <w:rFonts w:ascii="Times New Roman" w:cs="Times New Roman" w:eastAsia="Times New Roman" w:hAnsi="Times New Roman"/>
          <w:sz w:val="18"/>
          <w:szCs w:val="18"/>
          <w:color w:val="auto"/>
        </w:rPr>
      </w:pPr>
    </w:p>
    <w:p>
      <w:pPr>
        <w:ind w:left="720" w:right="419" w:hanging="386"/>
        <w:spacing w:after="0" w:line="273"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unforeseen expenditures while integrating the business, products, and personnel of the acquired company;</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synergies;</w:t>
      </w:r>
    </w:p>
    <w:p>
      <w:pPr>
        <w:spacing w:after="0" w:line="36"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ongoing business through the diversion of resources or increased expenses;</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attentions from ongoing business operations;</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cash liquidity in the business; and</w:t>
      </w:r>
    </w:p>
    <w:p>
      <w:pPr>
        <w:spacing w:after="0" w:line="36" w:lineRule="exact"/>
        <w:rPr>
          <w:rFonts w:ascii="Times New Roman" w:cs="Times New Roman" w:eastAsia="Times New Roman" w:hAnsi="Times New Roman"/>
          <w:sz w:val="18"/>
          <w:szCs w:val="18"/>
          <w:color w:val="auto"/>
        </w:rPr>
      </w:pPr>
    </w:p>
    <w:p>
      <w:pPr>
        <w:ind w:left="720" w:right="459" w:hanging="386"/>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then-existing stockholders and reduced earnings per share as a result of any issuance of equity securities.</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addition to the above risks, we may not successfully integrate and manage businesses that we acquire or fully achieve anticipated cost savings and synergies from acquisitions in the timeframe we anticipate or at all and projections of the anticipated benefits of any acquisition can be negatively affected by intervening events beyond our control. Projected growth opportunities could also require a greater-than-anticipated amount of trade and promotional spending. There can be no assurance that we will successfully or efficiently integrate any businesses that we may acquire in the future, and the failure to do so could have a material adverse effect on our business, financial condition and operating results.</w:t>
      </w:r>
    </w:p>
    <w:p>
      <w:pPr>
        <w:spacing w:after="0" w:line="183"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effectively manage the growth and increased complexity of our business and, as a result, our business, financial condition and operating results could suffer.</w:t>
      </w:r>
    </w:p>
    <w:p>
      <w:pPr>
        <w:spacing w:after="0" w:line="15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Our rapid growth has placed, and may continue to place, significant demands on our organizational, administrative and operational infrastructure, including manufacturing operations, supply chain, quality control, regulatory support, customer service, sales force management and general and financial administration. Further, we have a limited history of operating our legacy business and the acquired S&amp;D business as a combined company. As we continue to grow and potentially acquire other businesses, we will need to continue building our operational, financial and management controls as well as our reporting systems and procedures. Managing our planned growth effectively may require us to:</w:t>
      </w:r>
    </w:p>
    <w:p>
      <w:pPr>
        <w:spacing w:after="0" w:line="187" w:lineRule="exact"/>
        <w:rPr>
          <w:sz w:val="20"/>
          <w:szCs w:val="20"/>
          <w:color w:val="auto"/>
        </w:rPr>
      </w:pPr>
    </w:p>
    <w:p>
      <w:pPr>
        <w:ind w:left="720" w:hanging="38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facilities and purchase additional equipment at our facilities;</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or enhance our information technology systems;</w:t>
      </w:r>
    </w:p>
    <w:p>
      <w:pPr>
        <w:spacing w:after="0" w:line="36"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inventory and packaging throughput; and</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and motivate additional employees.</w:t>
      </w:r>
    </w:p>
    <w:p>
      <w:pPr>
        <w:spacing w:after="0" w:line="29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If our operations continue to grow rapidly, we may experience challenges in obtaining sufficient raw materials and manufacturing capacity to produce the products we sell, along with delays in production and shipments. We could also be required to continue to expand our sales and marketing, product development, and distribution capabilities or further expand our workforce. Any such expansion could strain our resources, expose us to new legal risks in new jurisdictions, and cause operating difficulties. If we are unable to manage our growth and increased complexity effectively, we may be unable to execute our business plan, which could lead to a material adverse effect on our business, financial condition and operating results.</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adversely affect our financial condition and cash flow, and may make it difficult to project future results and meet the earnings expectations of securities analysts or investors.</w:t>
      </w:r>
    </w:p>
    <w:p>
      <w:pPr>
        <w:spacing w:after="0" w:line="15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which have fluctuated in the past and are expected to fluctuate in the future due to a variety of factors, many of which are beyond our control. In addition to the other risks described herein, such factors include changes in accounting principles, fluctuations in the selling prices of our products, research reports and changes in financial estimates by analysts about us, our competitors or our industry,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strategic decisions by us or our competitors, such as acquisitions, capital investments or changes in business strategy, the depth and liquidity of the market for Common Shares, activism by any large stockholder or group of stockholders, speculation by the investment community regarding our business, actual or anticipated growth rates relative to our competitors, terrorist acts, natural disasters, pandemics (including COVID-19), perceptions of the investment opportunity associated with Common Shares relative to other investment alternatives, competition, changes in consumer preferences and market trends (including, for example, an acceleration in any shift from hot coffee to cold brews and extracts), seasonality, our ability to retain and attract customers, our ability to manage inventory and fulfillment operations and maintain gross margin. The effects of any of these and other factors could, either individually or in the aggregate, negatively impact our operating results and cause the market price of Common Shares to decline.</w:t>
      </w:r>
    </w:p>
    <w:p>
      <w:pPr>
        <w:spacing w:after="0" w:line="184"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operations at any of our production and distribution facilities could affect our ability to manufacture or distribute products and could adversely affect our business and sales.</w:t>
      </w:r>
    </w:p>
    <w:p>
      <w:pPr>
        <w:spacing w:after="0" w:line="15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Our sales and distribution network requires a large investment to maintain and operate, and we rely on a limited number of production and distribution facilities. Our production capacity is currently concentrated in our Concord, North Carolina, North Little Rock, Arkansas, Richmond, California and Johor Bahru, Malaysia facilities, and will soon be supplemented by our planned production expansion at our new Conway, Arkansas facility. If we were to experience a prolonged disruption in the operation of these facilities due to damage from fire, natural disaster, power loss, labor shortages, or a failure of production equipment or information technology systems supporting our production processes, we may not have sufficient capacity at our other facilities to meet our customers’ demands. If demand increases more than we forecast, we will need to either expand our capabilities internally or acquire additional capacity. Alternative facilities with sufficient capacity or capabilities may not be available, may cost substantially more than existing facilities or may take a significant time to start production, which would have an adverse impact on our financial condition, results of operations and cash flows.</w:t>
      </w:r>
    </w:p>
    <w:p>
      <w:pPr>
        <w:spacing w:after="0" w:line="17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also rely on the timely and free flow of goods through open and operational ports from our suppliers and manufacturers. Labor disputes or disruptions at ports, our common carriers, or our suppliers or manufacturers could create significant risks for our business, particularly if these disputes result in work slowdowns, lockouts, strikes, or other disruptions during periods of significant importing or manufacturing, potentially resulting in delayed or canceled orders by customers, unanticipated inventory accumulation or shortages, and harm to our business, results of operations, and financial condition. In addition, we rely upon independent freight carriers for product shipments from our distribution centers to our customers. We may not be able to obtain sufficient freight capacity on a timely basis or at favorable shipping rates and, therefore, may not be able to receive products from suppliers or deliver products to customers in a timely and cost-effective manner.</w:t>
      </w:r>
    </w:p>
    <w:p>
      <w:pPr>
        <w:spacing w:after="0" w:line="18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we use a significant amount of electricity, gasoline, diesel and oil, natural gas and other energy sources to operate our production and distribution facilities. An increase in the price, disruption of supply or shortage of fuel and other energy sources that may be caused by increased demand or by events such as climate change, natural disasters, power outages, cyberattacks or the like, could lead to higher electricity, transportation and other commodity costs, which could negatively impact our profitability, financial condition or results of operations.</w:t>
      </w:r>
    </w:p>
    <w:p>
      <w:pPr>
        <w:spacing w:after="0" w:line="179"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complete the construction of our new production facility in Conway, Arkansas in time or at all and may incur additional expenses in the process, which could hamper our ability to satisfy demand and meet revenue targets.</w:t>
      </w:r>
    </w:p>
    <w:p>
      <w:pPr>
        <w:spacing w:after="0" w:line="13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2021, we purchased a 524,000 square foot manufacturing facility in Conway, Arkansas with the intent to build out the capacity and capabilities needed to meet our customer demand. Construction on the facility began in late 2022 and we are in active discussions with prospective customers related to price, terms, volume and commitments. If the completion of this facility is delayed or otherwise not completed, or if we incur additional expenses in the process of opening this facility, it might hamper our ability to satisfy customer demand and meet revenue targets, which could cause our profitability to suffer.</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or disputes could lead us to incur significant liabilities or harm our reputation.</w:t>
      </w:r>
    </w:p>
    <w:p>
      <w:pPr>
        <w:spacing w:after="0" w:line="229"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We have in the past and/or may in the future become subject to legal proceedings, disputes, claims, investigations, regulatory proceedings, or similar actions that arise in the ordinary course of business, such as claims brought by our customers in connection with commercial matters, or employment claims brought by our employees. Further, state or federal regulators could make inquiries and/or conduct investigations with respect to one or more of our products.</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may become a defendant in class action litigation, including litigation regarding employment practices, product labeling, public statements and disclosures under securities laws, antitrust, advertising, consumer protection and wage and hour laws. Plaintiffs in class action litigation may seek to recover amounts that are large and may be indeterminable for some period of time. We evaluate litigation claims and legal proceedings to assess the likelihood of unfavorable outcomes and estimate, if possible, the amount of potential losses. We will establish a reserve as appropriate based upon assessments and estimates in accordance with our accounting policies. We will base our assessments, estimates and disclosures on the information available to us at the time and rely on legal and management judgment. Actual outcomes or losses may differ materially from assessments and estimates.</w:t>
      </w:r>
    </w:p>
    <w:p>
      <w:pPr>
        <w:spacing w:after="0" w:line="19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Even if any such litigation or claims lack merit, the process of defending against these claims may result in substantial costs to the business and divert management’s attention and resources, which can harm our business, operating results and financial condition. Any adverse publicity resulting from allegations made in litigation claims or legal proceedings may also adversely affect our reputation, which in turn could adversely affect our operating results.</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applicable transfer pricing and similar regulations may harm our business and financial results.</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many countries, including the United States, we are subject to transfer pricing and other tax regulations designed to ensure that appropriate levels of income are reported as earned and are taxed accordingly. Although we believe that we are in substantial compliance with all applicable regulations and restrictions, we are subject to the risk that governmental authorities could audit our transfer pricing and related practices and assert that additional taxes are owed. In the event that the audits or assessments are concluded adversely to our positions, we may be required to pay additional taxes, interest, and penalties and we may or may not be able to offset or mitigate the consolidated effect of foreign income tax assessments through the use of U.S. foreign tax credits. As a result, our operations may be negatively impacted, our effective tax rate may increase, and our cash flows may be materially adversely affected. Because the laws and regulations governing U.S. foreign tax credits are complex and subject to periodic legislative amendment, we cannot be sure that we will in fact be able to take advantage of any foreign tax credits in the future. We may not always be in compliance with all applicable tax laws, including transfer pricing laws, despite our efforts to be aware of and to comply with such laws. In such case, we may need to adjust our operating procedures and, as a result, our financial condition, results of operations, and cash flows could be materially adversely affected.</w:t>
      </w:r>
    </w:p>
    <w:p>
      <w:pPr>
        <w:spacing w:after="0" w:line="18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ability to process data in order to operate and sell our products, and if we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8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networks and systems and data processing (some of which are managed by third-party service providers) to market, sell and deliver our products, to collect, receive, store, process, generate, use, transfer, disclose, make accessible, protect, secure, dispose of and share personal information, confidential or proprietary information, financial information and other information, to manage a variety of business processes and activities, for financial reporting purposes, to operate our business, to process and fulfill orders, for legal and marketing purposes and to comply with regulatory, legal and tax requirements. These information technology networks and systems may be vulnerable to data security and privacy threats, cyber and otherwise. Moreover, the risk of unauthorized circumvention of our security measures or those of third parties on whom we rely has been heightened by advances in computer and software capabilities and the increasing sophistication of hackers who employ complex techniques, including, without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limitation, “phishing” or social engineering incidents, ransomware, extortion, account takeover attacks, denial or degradation of service attacks and malware. Further, breaches experienced by other companies may also be leveraged against us. For example, credential stuffing attacks are becoming increasingly common and sophisticated actors can mask their attacks, making them increasingly difficult to identify and prevent.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 damage, security breaches, vulnerabilities, disruption or shutdown, and we do not effectively resolve the issues in a timely manner, they could cause a material adverse impact to our business, reputation and financial condition.</w:t>
      </w:r>
    </w:p>
    <w:p>
      <w:pPr>
        <w:spacing w:after="0" w:line="18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Hackers and data thieves are increasingly sophisticated and operate large-scale and complex automated attacks, which may remain undetected until after they occur. Despite our efforts to protect our information technology networks, systems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if, for example, third parties attempt to fraudulently induce our personnel or our customers to disclose information or usernames and/or passwords, or otherwise compromise the security of our applications, systems, networks, software and/or physical facilities.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products are more widely adopted, we continue to expand the features of existing products and introduce new products and we process, store, and transmit increasingly large amounts of personal and/or sensitive data.</w:t>
      </w:r>
    </w:p>
    <w:p>
      <w:pPr>
        <w:spacing w:after="0" w:line="18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 actual or perceived breach of our security systems or those of our third-party service providers may require notification under applicable data privacy regulations or for customer relations or publicity purposes, which could result in reputational harm, costly litigation (including class action litigation), material contract breaches, liability, settlement costs, loss of sales, regulatory scrutiny, actions or investigations, loss of confidence in our business, diversion of management’s time and attention, and significant fines, penalties, assessments, fees and expenses.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breach or related regulatory actions or litigation, which could have an adverse effect on our business. Additionally,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may not have adequate insurance coverage for handling security incidents or breaches, including fines, judgments, settlements, penalties, costs, attorney’s fees and other impacts that arise out of incidents or breaches. The successful assertion of one or more large security incident or breach-related claims against us that exceeds our available insurance coverage, or results in changes to our insurance policies (including premium increases or the imposition of large deductible or co-insurance requirements), could harm our business. In addition, we cannot be sure that our existing insurance coverage will continue to be available on acceptable terms or that our insurers will not deny coverage as to all or part of any future claim or loss. Moreover, our privacy risks are likely to increase as we continue to expand, grow our customer base, and process, store, and transmit increasingly large amounts of personal and/or sensitive data. In addition, our cybersecurity risk could be increased as a result of the ongoing military conflict between Russia and Ukraine and the related sanctions imposed against Russia. We utilize a third-party monitoring service that constantly surveils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developing threats as part of our normal security programs, including with respect to any new cybersecurity threats that may be presented by the unfolding conflict between Russia and Ukraine.</w:t>
      </w:r>
    </w:p>
    <w:p>
      <w:pPr>
        <w:spacing w:after="0" w:line="158"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unauthorized access, theft, use or destruction of personal, financial or other confidential information relating to our customers, suppliers, employees or business could expose us to reputational damage and operational risk, negatively affect our business and expose us to potential liability.</w:t>
      </w:r>
    </w:p>
    <w:p>
      <w:pPr>
        <w:spacing w:after="0" w:line="17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protection of our customer, supplier, employee, and business data and confidential information is critical. We are subject to new and changing privacy and information security laws and standards that may require significant investments in technology and new operational processes. The use of electronic payment methods and collection of other personal information exposes us to increased risk of privacy and/or security breaches. We rely on commercially available systems, software, tools, and monitoring to provide security for processing, transmitting, and storing personal information from individuals, including our customers, suppliers and employees, and our security measures may not effectively prohibit others from obtaining improper access to such information. We also rely on third-party, cloud-based technologies, which results in third-party access and storage of business data and confidential information. Employees or third parties with whom we do business or to whom we outsource certain information technology or administrative services may attempt to circumvent security measures in order to misappropriate such information and may purposefully or inadvertently cause a breach involving such information. If we experience a data security breach of any kind or fail to respond appropriately to such incidents, we may experience a loss of or damage to critical data, suffer financial or reputational damage or penalties, or face exposure to negative publicity, government investigations and proceedings, private consumer or securities litigation, liability or costly response measures. In addition, our reputation within the business community and with our customers and suppliers may be affected, which could result in our customers and suppliers ceasing to do business with us, which could adversely affect our business and results of operations.</w:t>
      </w:r>
    </w:p>
    <w:p>
      <w:pPr>
        <w:spacing w:after="0" w:line="19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or be forced to defend our intellectual property rights, which can be costly and may subject us to significant liability and increase our costs of doing business.</w:t>
      </w:r>
    </w:p>
    <w:p>
      <w:pPr>
        <w:spacing w:after="0" w:line="15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Third parties may be able to successfully challenge, oppose, invalidate, render unenforceable, dilute, misappropriate or circumvent our trade secrets,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Actions we may take to enforce or defend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financial condition and prospects. Furthermore, such actions, even if successful, may not result in an adequate remedy or protection. In addition, many companies have the capability to dedicate greater resources to enforce their intellectual property rights and to defend claims that may be brought against them. If a third party is able to obtain an injunction preventing us from selling allegedly infringing products or services, or if we cannot license or develop alternative technology for any infringing aspect of our business, we would be forced to limit or stop sales of our products or services or cease business activities related to such intellectual property.</w:t>
      </w:r>
    </w:p>
    <w:p>
      <w:pPr>
        <w:spacing w:after="0" w:line="18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selling a product or service found to be in violation of a third party’s rights. Further, we might be required to seek a license for third-party intellectual property, which may not be available on reasonable royalty or other terms. Alternatively, we could be required to develop an alternative non-infringing product or service, which could require significant effort and expense. If we cannot license or develop an acceptable alternative for any infringing aspect of our business, we would be forced to limit our products or services, which could affect our ability to compete effectively. Any of these results would harm our business, operating results, financial condition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levels of indebtedness could materially and adversely affect our financial position, including reducing funds available for other business purposes and reducing our operational flexibility.</w:t>
      </w:r>
    </w:p>
    <w:p>
      <w:pPr>
        <w:spacing w:after="0" w:line="15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of December 31, 2022, we had outstanding total indebtedness of $216.9 million and $175.0 million of undrawn borrowings available under our Revolving Credit Facility (other than $2.6 million of standby letters of credit outstanding). As of the date of this Annual Report on Form 10-K, no borrowings have been made under the Delayed Draw Term Loan Facility.</w:t>
      </w:r>
    </w:p>
    <w:p>
      <w:pPr>
        <w:spacing w:after="0" w:line="180" w:lineRule="exact"/>
        <w:rPr>
          <w:sz w:val="20"/>
          <w:szCs w:val="20"/>
          <w:color w:val="auto"/>
        </w:rPr>
      </w:pPr>
    </w:p>
    <w:p>
      <w:pPr>
        <w:jc w:val="both"/>
        <w:ind w:left="60" w:right="119"/>
        <w:spacing w:after="0" w:line="272" w:lineRule="auto"/>
        <w:rPr>
          <w:sz w:val="20"/>
          <w:szCs w:val="20"/>
          <w:color w:val="auto"/>
        </w:rPr>
      </w:pPr>
      <w:r>
        <w:rPr>
          <w:rFonts w:ascii="Times New Roman" w:cs="Times New Roman" w:eastAsia="Times New Roman" w:hAnsi="Times New Roman"/>
          <w:sz w:val="17"/>
          <w:szCs w:val="17"/>
          <w:color w:val="auto"/>
        </w:rPr>
        <w:t>Any subsequent additions to our indebtedness could impact our financial flexibility due to increased cash flows required to make required interest and principal payments. Greater demands on our funds may limit our ability to invest in our growth, including inhibiting our ability to meet working capital requirements, make capital expenditures or fund acquisitions.</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Increased indebtedness may also limit our ability to adjust to rapidly changing market conditions, making us more vulnerable to general adverse industry and economic conditions, which could create a competitive disadvantage relative to our competitors.</w:t>
      </w:r>
    </w:p>
    <w:p>
      <w:pPr>
        <w:spacing w:after="0" w:line="18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outstanding indebtedness under the Credit Agreement bears interest at a variable rate, making us vulnerable to increases in the market rate of interest. If the market rate of interest increases substantially, we will have to pay additional interest on this indebtedness, which would reduce cash available for our other business needs.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Failure to make payments or comply with covenants under our applicable debt instruments could result in an event of default. If an event of default occurs and the lender accelerates the amounts due, we may need to seek additional financing, which may not be available on acceptable terms, in a timely manner or at all. In such event, we may not be able to make accelerated payments, and the lender could seek to enforce security interests in the collateral securing such indebtedness, which includes substantially all of our assets.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Credit Agreement contains covenants that may restrict our ability to operate our business.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that may, subject to specified significant exceptions, restrict our ability, including specified material subsidiaries, to incur debt and our ability, including specified material subsidiaries, to, among other things, have liens on our property, merge or consolidate with any other person or sell or convey assets above a specified minimum threshold to any one person, and engage in sale-and-leaseback transactions depending on the characterization of the proceeds. Our ability, including specified material subsidiaries, to comply with these provisions may be affected by events beyond our control. Failure to comply with these covenants could result in an event of default, which, if not cured or waived, could accelerate our repayment obligations and could result in a default and acceleration under other agreements containing cross-default provisions. Under these circumstances, we might not have sufficient funds or other resources to satisfy all of our obligations.</w:t>
      </w:r>
    </w:p>
    <w:p>
      <w:pPr>
        <w:spacing w:after="0" w:line="184"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Credit Agreement fail to extend credit under the facility, our liquidity and results of operations may be adversely affected.</w:t>
      </w:r>
    </w:p>
    <w:p>
      <w:pPr>
        <w:spacing w:after="0" w:line="15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Each financial institution that is or becomes a lender under the Credit Agreement will be responsible on a several but not joint basis for providing a portion of the loans to be made under the facility. If any participant or group of participants with a significant portion of the commitments under the Credit Facility fails to satisfy its or their respective obligations to extend credit under the facility and we are unable to find a replacement for such participant or participants on a timely basis (if at all), our liquidity may be adversely affected.</w:t>
      </w:r>
    </w:p>
    <w:p>
      <w:pPr>
        <w:spacing w:after="0" w:line="17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operating results, financial condition and prospects may suffer.</w:t>
      </w:r>
    </w:p>
    <w:p>
      <w:pPr>
        <w:spacing w:after="0" w:line="159" w:lineRule="exact"/>
        <w:rPr>
          <w:sz w:val="20"/>
          <w:szCs w:val="20"/>
          <w:color w:val="auto"/>
        </w:rPr>
      </w:pPr>
    </w:p>
    <w:p>
      <w:pPr>
        <w:jc w:val="both"/>
        <w:ind w:left="60" w:right="219"/>
        <w:spacing w:after="0" w:line="258"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capabilities and operations. We may be presented with opportunities that we want to pursue, and unforeseen challenges may present themselves, any of which could cause us to require additional capital. If our cash needs exceed our expectations or we experience rapid growth, we could experience strain in our cash flow, which could adversely affect our operations in the event we are unable to obtain other sources of liquidity. If we seek to raise funds through equity or debt financing, those funds may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prove to be unavailable, may only be available on terms that are not acceptable to us or may result in significant dilution to our then-existing stockholders or higher levels of leverage. If we are unable to obtain adequate financing or financing on terms satisfactory to us, when we require it, our ability to continue to pursue our business objectives, to grow both organically and through acquisitions, and to respond to business opportunities, challenges or unforeseen circumstances, could be significantly limited, and our business, operating results, financial condition and prospects could be materially and adversely affected.</w:t>
      </w:r>
    </w:p>
    <w:p>
      <w:pPr>
        <w:spacing w:after="0" w:line="18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redemption rights by the holders of our Series A Preferred Shares may adversely affect the cash that we have available for other purposes and our ability to execute our business strategy.</w:t>
      </w:r>
    </w:p>
    <w:p>
      <w:pPr>
        <w:spacing w:after="0" w:line="15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23,587,952 Series A Preferred Shares remain outstanding after February 26, 2028, we estimate an aggregate redemption payment of at least approximately $271.3 million. If Westrock was required by the holders to redeem a significant number of Series A Preferred Shares, Westrock may not have enough cash available (including through draws on its credit facility) for other purposes such as servicing its debt,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financial condition and ability to execute our business strategy.</w:t>
      </w:r>
    </w:p>
    <w:p>
      <w:pPr>
        <w:spacing w:after="0" w:line="20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assumptions used to value our goodwill or other intangible assets, or the impairment of our goodwill or intangible assets, could negatively impact our financial condition and operating results.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net assets acquired in a business combination. Impairment may result from significant changes in the manner of use of the acquired assets, negative industry, or economic trends, and/or any changes in key assumptions regarding our fair value. At December 31, 2022, we had $114.0 million of goodwill on our Consolidated Balance Sheet. Any further deterioration in our business related to the COVID-19 pandemic, rising costs due to persistent inflationary impacts, continued increases in interest rates, or other market, industry, or operational trends, could result in further impairment of our goodwill, which would negatively impact our financial conditions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and reserves may be insufficient to cover future claims and liabilities.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premiums associated with our insurance continue to increase. General liability, fire, workers’ compensation, directors’ and officers’ liability, life, employee medical, dental and vision, and automobile risks present a large potential liability. While we accrue for this liability based on historical claims experience, future claims may exceed claims we have incurred in the past. Should a different number of claims occur compared to what was estimated or the cost of the claims increase beyond what was anticipated, reserves recorded may not be sufficient, and the accruals may need to be adjusted accordingly in future periods. A successful claim against us that is not covered by insurance or is in excess of our reserves or available insurance limits could negatively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We maintain finished goods product coverage in amounts we believe to be adequate. However, we cannot assure stockholders that we will not incur claims or liabilities for which we are not insured or that exceed the amount of our insurance coverage. Moreover, claims or liabilities of this sort might not be covered by our insurance or by any rights of indemnity or contribution that we may have against others. A product liability judgment against us or a product recall or the damage to our reputation resulting therefrom could have a material adverse effect on our business, consolidated financial condition, results of operations or liquidity.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Exposure to additional income tax liabilities could negatively affect our future profitability.</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various jurisdictions outside the United States. Our effective tax rate and profitability could be subject to volatility or adversely affected by a number of factors, including:</w:t>
      </w:r>
    </w:p>
    <w:p>
      <w:pPr>
        <w:spacing w:after="0" w:line="162" w:lineRule="exact"/>
        <w:rPr>
          <w:sz w:val="20"/>
          <w:szCs w:val="20"/>
          <w:color w:val="auto"/>
        </w:rPr>
      </w:pPr>
    </w:p>
    <w:p>
      <w:pPr>
        <w:ind w:left="720" w:right="159" w:hanging="386"/>
        <w:spacing w:after="0" w:line="273"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 and regulations, or their interpretation and application, including the possibility of retroactive effect;</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earnings and losses in various jurisdictions with differing tax rates;</w:t>
      </w:r>
    </w:p>
    <w:p>
      <w:pPr>
        <w:spacing w:after="0" w:line="36"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deferred tax assets and liabilities; and</w:t>
      </w:r>
    </w:p>
    <w:p>
      <w:pPr>
        <w:spacing w:after="0" w:line="49"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before taxes.</w:t>
      </w:r>
    </w:p>
    <w:p>
      <w:pPr>
        <w:spacing w:after="0" w:line="26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taxes by U.S. federal, state and local and non-U.S. taxing authorities. Outcomes from these audits could have a material and adverse effect on our operating results, financial condition and prospects.</w:t>
      </w:r>
    </w:p>
    <w:p>
      <w:pPr>
        <w:spacing w:after="0" w:line="1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other tax authorities, or a court may disagree with our tax positions, which may result in adverse effects on our financial condition or the value of our Common Shares.</w:t>
      </w:r>
    </w:p>
    <w:p>
      <w:pPr>
        <w:spacing w:after="0" w:line="15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tax position could be impacted by changes in U.S. federal, state and local and non-U.S. tax laws and changes in taxing jurisdictions’ administrative interpretations, decisions, policies, and positions. Any of the foregoing changes may have a material adverse impact on our results of operations, cash flows, and financial condition.</w:t>
      </w:r>
    </w:p>
    <w:p>
      <w:pPr>
        <w:spacing w:after="0" w:line="176" w:lineRule="exact"/>
        <w:rPr>
          <w:sz w:val="20"/>
          <w:szCs w:val="20"/>
          <w:color w:val="auto"/>
        </w:rPr>
      </w:pPr>
    </w:p>
    <w:p>
      <w:pPr>
        <w:jc w:val="both"/>
        <w:ind w:left="60" w:right="279"/>
        <w:spacing w:after="0" w:line="272" w:lineRule="auto"/>
        <w:rPr>
          <w:sz w:val="20"/>
          <w:szCs w:val="20"/>
          <w:color w:val="auto"/>
        </w:rPr>
      </w:pPr>
      <w:r>
        <w:rPr>
          <w:rFonts w:ascii="Times New Roman" w:cs="Times New Roman" w:eastAsia="Times New Roman" w:hAnsi="Times New Roman"/>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The likelihood of such changes being enacted or implemented is unclear.</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Any of these developments or changes in federal, state and local and non-U.S. tax laws could adversely affect our effective tax rate and our operating results. In addition, the administrative interpretations, decisions, policies and positions of the IRS and various other taxing authorities with respect to current and future tax laws may be subject to significant change and such guidance could ultimately increase or lessen the impact of such tax laws on our business and financial condition. In the absence of such guidance, we will take positions with respect to a number of unsettled issues. There is no assurance that the IRS, any other tax authorities, or a court will agree with the positions taken by us, in which case tax penalties and interest may be imposed that could adversely affect our business, cash flows or financial performance.</w:t>
      </w:r>
    </w:p>
    <w:p>
      <w:pPr>
        <w:spacing w:after="0" w:line="184" w:lineRule="exact"/>
        <w:rPr>
          <w:sz w:val="20"/>
          <w:szCs w:val="20"/>
          <w:color w:val="auto"/>
        </w:rPr>
      </w:pPr>
    </w:p>
    <w:p>
      <w:pPr>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Westrock has identified material weaknesses in its internal control over financial reporting, which may result in material misstatements of Westrock’s consolidated financial statements or cause Westrock to fail to meet its periodic reporting obligations.</w:t>
      </w:r>
    </w:p>
    <w:p>
      <w:pPr>
        <w:spacing w:after="0" w:line="17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further described in Item 9A of this Annual Report on Form 10-K, Westrock has identified material weaknesses in its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As a result, management has concluded that, because of these material weaknesses, our internal control over financial reporting and our disclosure controls and procedures were not effective as of December 31, 2022. As further discussed in Item 9A of this Annual Report on Form 10-K, Westrock has taken and is taking certain measures to remediate the material weaknesses.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Notwithstanding these measures or efforts, there is no assurance that any remediation efforts will ultimately have the intended effects. Additionally, these remediation measures will be time consuming, will result in Westrock incurring significant costs, and will place significant demands on our financial and operational resources.</w:t>
      </w:r>
    </w:p>
    <w:p>
      <w:pPr>
        <w:spacing w:after="0" w:line="1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If we fail to complete the remediation of these material weaknesses, or after having remediated such material weakness, thereafter fail to maintain the effectiveness of our internal control over financial reporting or our disclosure controls and procedures,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the existing material weaknesses continue to exist or that we will not identify any significant deficiencies or other material weaknesses that will impair our ability to report our financial condition and results of operations accurately or on a timely basis.</w:t>
      </w:r>
    </w:p>
    <w:p>
      <w:pPr>
        <w:spacing w:after="0" w:line="190" w:lineRule="exact"/>
        <w:rPr>
          <w:sz w:val="20"/>
          <w:szCs w:val="20"/>
          <w:color w:val="auto"/>
        </w:rPr>
      </w:pPr>
    </w:p>
    <w:p>
      <w:pPr>
        <w:jc w:val="both"/>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Westrock may identify additional material weaknesses in the future or fail to maintain effective internal control over financial reporting, which may result in material misstatements of Westrock’s consolidated financial statements. As a result, investors may lose confidence in the accuracy of our financial reports, which would harm our business and the trading price of our Common Shares.</w:t>
      </w:r>
    </w:p>
    <w:p>
      <w:pPr>
        <w:spacing w:after="0" w:line="180"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Westrock has undertaken various actions, and will take additional actions, such as remediating the material weaknesses described above, implementing additional internal controls and procedures and hiring internal audit staff or consultants. Testing and maintaining internal controls can divert our management’s attention from other matters that are important to the operation of our business. Additionally, when evaluating internal controls over financial reporting, Westrock may identify additional material weaknesses that it may not be able to remediate in time to meet the applicable deadline imposed upon us for compliance with the requirements of Section 404 of the Sarbanes-Oxley Act. If Westrock identifies any additional material weaknesses in its internal control over financial reporting or is unable to remediate the material weakness described above or comply with the requirements of Section 404 of the Sarbanes-Oxley Act in a timely manner or if Westrock’s independent registered public accounting firm is unable to express an unqualified opinion as to the effectiveness of our internal control over financial reporting once it is no longer an emerging growth company, or if Westrock is unable to conclude in our quarterly and annual reports that our disclosure controls and procedures are effective, investors may lose confidence in the accuracy and completeness of Westrock’s financial reports and the market price of our Common Shares could be negatively affected, and Westrock could become subject to investigations by the stock exchange on which our securities are listed, the SEC or other regulatory authorities, which could require additional financial and management resources. In addition, if Westrock fails to remediate any material weakness, including the material weakness described above, our financial statements could be inaccurate and Westrock could face restricted access to capital markets.</w:t>
      </w:r>
    </w:p>
    <w:p>
      <w:pPr>
        <w:spacing w:after="0" w:line="18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Westrock’s business, investments and results of operations.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Westrock is subject to laws and regulations enacted by national, regional and local governments. In particular, it is required to comply with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Westrock’s business, investments and results of operations. In addition, a failure to comply with applicable laws or regulations, as interpreted and applied, could have a material adverse effect on Westrock’s business and results of operations.</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accuracy of Westrock’s financial statements and related disclosures could be adversely affected if the judgments, assumptions or estimates used in Westrock’s critical accounting policies are inaccurate.</w:t>
      </w:r>
    </w:p>
    <w:p>
      <w:pPr>
        <w:spacing w:after="0" w:line="159"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 in conformity with GAAP requires us to make judgments, assumptions and estimates that affect the amounts reported in Westrock’s consolidated financial statements and related notes. Westrock’s critical accounting policies, which are included in the section captioned “</w:t>
      </w:r>
      <w:r>
        <w:rPr>
          <w:rFonts w:ascii="Times New Roman" w:cs="Times New Roman" w:eastAsia="Times New Roman" w:hAnsi="Times New Roman"/>
          <w:sz w:val="17"/>
          <w:szCs w:val="17"/>
          <w:i w:val="1"/>
          <w:iCs w:val="1"/>
          <w:color w:val="auto"/>
        </w:rPr>
        <w:t>Management’s Discussion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 in this Annual Report, describe those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methods used in the preparation of Westrock’s consolidated financial statements that Westrock considers “critical” because they require judgments, assumptions and estimates that materially affect Westrock’s consolidated financial statements and related disclosures. As a result, if future events differ significantly from the judgments, assumptions and estimates in Westrock’s critical accounting policies, those events or assumptions could have a material impact on Westrock’s consolidated financial statements and related disclosures.</w:t>
      </w:r>
    </w:p>
    <w:p>
      <w:pPr>
        <w:spacing w:after="0" w:line="184"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addition, changes in accounting interpretations or assumptions could impact Westrock’s financial statements and Westrock’s ability to timely prepare Westrock’s financial statements. Westrock’s inability to timely prepare Westrock’s financial statements in the future could materially and adversely affect Westrock’s share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Westrock’s board of directors and management have significant control over Westrock’s business.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of December 31, 2022, Westrock’s directors and executive officers beneficially own, directly or indirectly, in the aggregate, approximately 41,573,543 shares of Common Shares, representing an aggregate of approximately 42.0% of the combined voting power of Westrock’s outstanding capital stock (excluding any Warrants, options or other securities exercisable for Common Shares). As a result, in addition to their day-to-day management roles, Westrock’s executive officers and directors are able to exercise significant influence on Westrock’s business as stockholders, including influence over election of members of the board of directors and the authorization of other corporate actions requiring stockholder approval.</w:t>
      </w:r>
    </w:p>
    <w:p>
      <w:pPr>
        <w:spacing w:after="0" w:line="185"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Westrock’s certificate of incorporation and bylaws, the Investor Rights Agreement and of Delaware law may prevent or delay attempts to acquire a controlling interest in Westrock, which could decrease the trading price of Common Shares.</w:t>
      </w:r>
    </w:p>
    <w:p>
      <w:pPr>
        <w:spacing w:after="0" w:line="17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Westrock’s certificate of incorporation and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those establishing:</w:t>
      </w:r>
    </w:p>
    <w:p>
      <w:pPr>
        <w:spacing w:after="0" w:line="180" w:lineRule="exact"/>
        <w:rPr>
          <w:sz w:val="20"/>
          <w:szCs w:val="20"/>
          <w:color w:val="auto"/>
        </w:rPr>
      </w:pPr>
    </w:p>
    <w:p>
      <w:pPr>
        <w:jc w:val="both"/>
        <w:ind w:left="720" w:right="339" w:hanging="386"/>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until the 2028 meeting of our stockholders into three classes of directors, with each class serving a staggered three-year term, and this classified board provision could have the effect of making the replacement of incumbent directors more time-consuming and difficult;</w:t>
      </w:r>
    </w:p>
    <w:p>
      <w:pPr>
        <w:ind w:left="720" w:hanging="386"/>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w:t>
      </w:r>
    </w:p>
    <w:p>
      <w:pPr>
        <w:spacing w:after="0" w:line="49" w:lineRule="exact"/>
        <w:rPr>
          <w:rFonts w:ascii="Times New Roman" w:cs="Times New Roman" w:eastAsia="Times New Roman" w:hAnsi="Times New Roman"/>
          <w:sz w:val="18"/>
          <w:szCs w:val="18"/>
          <w:color w:val="auto"/>
        </w:rPr>
      </w:pPr>
    </w:p>
    <w:p>
      <w:pPr>
        <w:ind w:left="720" w:right="739" w:hanging="386"/>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ind w:left="720" w:hanging="386"/>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stock without stockholder approval;</w:t>
      </w:r>
    </w:p>
    <w:p>
      <w:pPr>
        <w:spacing w:after="0" w:line="49" w:lineRule="exact"/>
        <w:rPr>
          <w:rFonts w:ascii="Times New Roman" w:cs="Times New Roman" w:eastAsia="Times New Roman" w:hAnsi="Times New Roman"/>
          <w:sz w:val="18"/>
          <w:szCs w:val="18"/>
          <w:color w:val="auto"/>
        </w:rPr>
      </w:pPr>
    </w:p>
    <w:p>
      <w:pPr>
        <w:ind w:left="720" w:right="359" w:hanging="386"/>
        <w:spacing w:after="0" w:line="273"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remove directors without cause until the class to which such directors belong is declassified;</w:t>
      </w:r>
    </w:p>
    <w:p>
      <w:pPr>
        <w:spacing w:after="0" w:line="1" w:lineRule="exact"/>
        <w:rPr>
          <w:rFonts w:ascii="Times New Roman" w:cs="Times New Roman" w:eastAsia="Times New Roman" w:hAnsi="Times New Roman"/>
          <w:sz w:val="18"/>
          <w:szCs w:val="18"/>
          <w:color w:val="auto"/>
        </w:rPr>
      </w:pPr>
    </w:p>
    <w:p>
      <w:pPr>
        <w:ind w:left="720" w:hanging="386"/>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not our stockholders, to fill vacancies on the board of directors; and</w:t>
      </w:r>
    </w:p>
    <w:p>
      <w:pPr>
        <w:spacing w:after="0" w:line="36" w:lineRule="exact"/>
        <w:rPr>
          <w:rFonts w:ascii="Times New Roman" w:cs="Times New Roman" w:eastAsia="Times New Roman" w:hAnsi="Times New Roman"/>
          <w:sz w:val="18"/>
          <w:szCs w:val="18"/>
          <w:color w:val="auto"/>
        </w:rPr>
      </w:pPr>
    </w:p>
    <w:p>
      <w:pPr>
        <w:ind w:left="720" w:right="79" w:hanging="386"/>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terms of the Series A Preferred Shares, including the (i) rights of the holders of the Series A Preferred Shares to vote as a separate class with respect to certain matters, including amendments to the certificate of incorporation and bylaws of Westrock that would adversely affect the rights, preferences, privileges, voting power or special rights of the Series A Preferred Shares and, for so long as the BBH Investors own at least sixty percent (60%) of the Series A Preferred Shares that they owned as of August 26, 2022, any Fundamental Change in which the holders of Series A Preferred Shares would receive less than $18.50 per share (subject to customary adjustments), and (ii) the rights of the Preferred Shares in a Fundamental Change to receive at least a specified amount.</w:t>
      </w:r>
    </w:p>
    <w:p>
      <w:pPr>
        <w:spacing w:after="0" w:line="273" w:lineRule="exact"/>
        <w:rPr>
          <w:sz w:val="20"/>
          <w:szCs w:val="20"/>
          <w:color w:val="auto"/>
        </w:rPr>
      </w:pPr>
    </w:p>
    <w:p>
      <w:pPr>
        <w:ind w:left="60" w:right="419"/>
        <w:spacing w:after="0" w:line="289" w:lineRule="auto"/>
        <w:rPr>
          <w:sz w:val="20"/>
          <w:szCs w:val="20"/>
          <w:color w:val="auto"/>
        </w:rPr>
      </w:pPr>
      <w:r>
        <w:rPr>
          <w:rFonts w:ascii="Times New Roman" w:cs="Times New Roman" w:eastAsia="Times New Roman" w:hAnsi="Times New Roman"/>
          <w:sz w:val="17"/>
          <w:szCs w:val="17"/>
          <w:color w:val="auto"/>
        </w:rPr>
        <w:t>On April 4, 2022, Westrock entered into the Investor Rights Agreement with (i) Westrock Group, LLC, The Stephens Group, LLC, Sowell Westrock, L.P. and any affiliate of Joe T. Ford, Scott T. Ford, Witt Stephens, Jim Sowell or their respective families that becomes an owner of any shares of Westrock’s common stock from another WCC Investor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becomes a party to the Investor Rights Agreement, so long as such person remains an affiliate of Joe T. Ford, Scott T. Ford, Witt Stephens, Jim Sowell or their families (the “WCC Investors”) (ii) BBH Capital Partners V, L.P., BBH Capital Partners V-A, L.P., BBH CPV WCC Co-Investment LLC, and any controlled affiliate of Brown Brothers Harriman &amp; Co. (the “BBH Investors”) that becomes an owner of any shares of Westrock’s common stock or the Series A Convertible Preferred Stock from another BBH Investor and becomes a party to the Investor Rights Agreement, so long as such person remains a controlled affiliate of Brown Brothers Harriman &amp; Co. and (iii) Riverview Sponsor Partners, LLC (“Riverview Sponsor”), which also contains certain provisions that may prevent or delay attempts to acquire a controlling interest in Westrock. These include the following provisions:</w:t>
      </w:r>
    </w:p>
    <w:p>
      <w:pPr>
        <w:spacing w:after="0" w:line="273" w:lineRule="exact"/>
        <w:rPr>
          <w:sz w:val="20"/>
          <w:szCs w:val="20"/>
          <w:color w:val="auto"/>
        </w:rPr>
      </w:pPr>
    </w:p>
    <w:p>
      <w:pPr>
        <w:ind w:left="720" w:right="159" w:hanging="386"/>
        <w:spacing w:after="0" w:line="25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required to consist of ten directors and each of the WCC Investors, the BBH Investors and Riverview Sponsor are entitled to nominate for inclusion in Westrock’s slate of individuals for election to the board of directors two directors if they (or, in the case of Riverview Sponsor, a specified reference group) own at least 10% of the outstanding stock of Westrock and one director if they (or, in the case of Riverview Sponsor, a specified reference group) own at least 5% but less 10% of the outstanding stock of Westrock.</w:t>
      </w:r>
    </w:p>
    <w:p>
      <w:pPr>
        <w:spacing w:after="0" w:line="3" w:lineRule="exact"/>
        <w:rPr>
          <w:rFonts w:ascii="Times New Roman" w:cs="Times New Roman" w:eastAsia="Times New Roman" w:hAnsi="Times New Roman"/>
          <w:sz w:val="18"/>
          <w:szCs w:val="18"/>
          <w:color w:val="auto"/>
        </w:rPr>
      </w:pPr>
    </w:p>
    <w:p>
      <w:pPr>
        <w:jc w:val="both"/>
        <w:ind w:left="720" w:right="219" w:hanging="386"/>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of the size of the Westrock board of directors above or below ten directors requires the consent of each of the WCC Investors, the BBH Investors and Riverview Sponsor, so long as they have the right to designate at least one director.</w:t>
      </w:r>
    </w:p>
    <w:p>
      <w:pPr>
        <w:jc w:val="both"/>
        <w:ind w:left="720" w:right="119" w:hanging="386"/>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Escalation Event is ongoing during the period during which the BBH Investors have the right to designate at least one director pursuant to the Investor Rights Agreement, Westrock may not take specified actions, that would require lender consent under the Credit Facility, without the consent of the BBH Investors.</w:t>
      </w:r>
    </w:p>
    <w:p>
      <w:pPr>
        <w:spacing w:after="0" w:line="243"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In addition, because Westrock does not elect to be exempt from Section 203 of the DGCL, this provision could also delay or prevent a change of control that you may favor. Section 203 of the DGCL provides that, subject to limited exceptions, a person that acquires, or is affiliated with a person that acquires, more than 15% of the outstanding voting stock of a Delaware corporation (an “interested stockholder”) must not engage in any business combination with that corporation, including by merger, consolidation or acquisitions of additional shares, for a three-year period following the date on which the person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27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Westrock is an “emerging growth company,” and the reduced disclosure requirements applicable to emerging growth companies may make the Common Shares less attractive to investors.</w:t>
      </w:r>
    </w:p>
    <w:p>
      <w:pPr>
        <w:spacing w:after="0" w:line="15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Westrock is an “emerging growth company,” as defined in the JOBS Act. Westrock could continue to be considered an emerging growth company for up to five years, although Westrock would lose that status sooner if Westrock’s gross revenues exceed $1.235 billion, if it issues more than $1 billion in nonconvertible debt in a three-year period, or if the fair value of Common Shares held by non-affiliates exceeds $700 million as of the last business day of our most recently completed second fiscal quarter (and Westrock has been a public company for at least 12 months and has filed one annual report on Form 10-K). For as long as Westrock continues to be an emerging growth company, Westrock may take advantage of exemptions from various reporting requirements that apply to other public companies that are not emerging growth companies, including reduced disclosure obligations regarding executive compensation in Westrock’s periodic reports and proxy statements and exemptions from the requirements of holding a nonbinding advisory vote on executive compensation and stockholder approval of any golden parachute payments not previously approved. It is unclear whether investors will find Common Shares less attractive because Westrock may rely on these exemptions. If some investors find Common Shares less attractive as a result, there may be a less active trading market for Common Shares, and Westrock’s stock price may be more volatile.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Westrock has elected to avail itself of this exemption from new or revised accounting standards and, therefore, while Westrock is an emerging growth company, Westrock will not be subject to new or revised accounting standards at the same time that they become applicable to other public companies that are not emerging growth companies. As a result, Westrock’s financial statements may not be comparable to companies that comply with new or revised accounting pronouncements as of public company effective dates, and Westrock will incur additional costs in connection with complying with the accounting standards applicable to public companies at such time or times as they become applicable to Westrock.</w:t>
      </w:r>
    </w:p>
    <w:p>
      <w:pPr>
        <w:spacing w:after="0" w:line="184"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proceeds that we may receive from the exercise of the Warrants is highly dependent on the price of our Common Shares.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2022, we have 19,372,916 outstanding warrants to purchase our Common Shares (the “Warrants”),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As of December 30, 2022 (the last trading day of 2022), the closing price of our Common Shares was $13.36 per share, which is greater than the Warrant exercise price of $11.50. Even if our Warrants are in the money, there can be no assurance that Warrant holders will exercise their Warrants prior to their expiration.</w:t>
      </w:r>
    </w:p>
    <w:p>
      <w:pPr>
        <w:spacing w:after="0" w:line="19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Warrants that are listed on the NASDAQ (the “Public Warrants”), under certain conditions as described in their warrant agreement, are redeemable by the Company at a price of $0.01 per warrant or exercised on a cashless basis. Our Warrants that are not listed on the NASDAQ (the “Private Placement Warrants”) are not redeemable so long as they are held by Riverview Sponsor or its permitted transferees (except as otherwise set forth herein). As such, it is possible that we may never generate any or only very limited cash proceeds from the exercise of our Warrants.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green coffee may not be able to be passed through to customers, which could adversely impact our gross margins and profitability.</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primary raw material green coffee is an exchange-traded agricultural commodity that is subject to price fluctuations, depending on a variety of factors, including outside speculative influences such as indexed and algorithmic commodity funds, climate patterns in coffee-producing countries, economic and political conditions affecting coffee-producing countries such as unrest and armed conflict, foreign currency fluctuations, real or perceived supply shortages, crop disease (such as coffee rust) and pests, general increase in farm inputs and costs of production, an increase in green coffee purchased and sold on a negotiated basis rather than directly on commodity markets in response to higher production costs relative to “C” market prices, acts of terrorism, pandemics or other disease outbreaks (including the COVID-19 pandemic), government actions and trade barriers or tariffs, and the actions of producer organizations that have historically attempted to influence green coffee prices through agreements establishing export quotas or by otherwise limiting coffee supplies. Additionally, specialty green coffees tend to trade on a negotiated basis at a premium above the “C” market price. Such premium, depending on the supply and demand at the time of purchase, may be significant.</w:t>
      </w:r>
    </w:p>
    <w:p>
      <w:pPr>
        <w:spacing w:after="0" w:line="19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Depending on contractual limitations, we may be unable to pass these costs on to our customers by increasing the price of products. If we are unable to increase prices sufficiently to offset increased input costs, or if our sales volume decreases as a result of price increases, our operating results and financial condition may be adversely affected. Additionally, if we are unable to purchase sufficient quantities of green coffee due to any of the factors described herein or a worldwide or regional shortage, we may not be able to fulfill the demand for our products, which could have an adverse impact on our business and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We have historically utilized, and expect to continue to utilize, various types of derivative instruments, including forward contracts, futures contracts, and option contracts to hedge our exposure to the commodities price variability of green coffee. Our hedging strategy is an important part of our business model as it allows us to fix raw materials costs for inventory needed to grow our business, while minimizing the margin volatility associated with fluctuations in the prices of green coffee. As part of that strategy, we track the spread between sales price and material costs as a means of determining the efficiency of our pricing strategy. While our derivatives strategy may mitigate the impacts of volatile green coffee prices, no strategy can eliminate all pricing risks, and we generally remain exposed to supply risk in the event of nonperformance by the counterparties in any one of our physical contracts. Failure to properly execute an effective hedging strategy with respect to the price of green coffee may materially adversely affect our business and operating results.</w:t>
      </w:r>
    </w:p>
    <w:p>
      <w:pPr>
        <w:spacing w:after="0" w:line="173"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Recently, there has been heightened volatility in the “C” market price that has driven prices, at times, to five-year highs. This volatility has been driven by uncertainty over several factors, including the impact of weather patterns in coffee producing regions, global supply chain constraints and shipping shortages, and speculative trading. Specifically, severe frosts and drought in Brazil threaten to negatively impact crop yields for multiple harvests, which could reduce supply and increase costs. As noted above, while these derivative instruments allow us to hedge the “C” market price volatility for a portion of our green coffee supply, our hedging strategy cannot completely mitigate our exposure to the “C” market price risk.</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other commodity prices and in the availability of certain of our ingredients and packaging materials could negatively affect our margins and profitability.</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addition to green coffee, our other commodity inputs are also exposed to the risk of cost fluctuations. These inputs include tea, spices, and the materials used in our packaging, such as carton board and plastic. Although these commodities are available from a number of sources, we have very little control over the factors that can influence the prices we pay, including economic and political conditions, foreign currency fluctuations, transportation and storage costs, export restrictions, weather conditions and global climate patterns, and natural disasters (including floods, droughts, frosts, earthquakes and hurricanes). Changes in the prices we pay may take place on a monthly, quarterly or annual basis depending on the product and supplier. We do not purchase any derivative instruments to hedge cost fluctuations in these other commodities like we do with respect to green coffee, but we may do so in the future. As a result, to the extent we are unable to pass along such costs through price increases, our margins and profitability will decrease. High and volatile commodity prices can also place more pressures on short-term working capital funding. Additionally, if as a result of these factors, we are unable to obtain these commodities, we may not be able to fulfill the demand for our products, which could have an adverse impact on our business and financial results.</w:t>
      </w:r>
    </w:p>
    <w:p>
      <w:pPr>
        <w:spacing w:after="0" w:line="186"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a coffee trading business and a coffee exporting business, including those associated with the availability and prices of green coffee.</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Falcon, our coffee trading business headquartered in the United Kingdom, operates as a separate subsidiary, and we maintain a coffee exporting business in Peru. RTC, our coffee exporting business headquartered in Rwanda, is also operated as a separate subsidiary. As a purchaser and reseller of coffee, Falcon engages in commodity hedging and is reliant on third-party logistics suppliers to fulfill its commitments. Disruptions in Falcon’s supply chain could result in the failure to deliver on commitments, which could adversely impact Falcon’s business, cash flows and financial performance. Both RTC and Falcon rely on third party financing sources to purchase coffee for resale, and in each case, the failure to maintain an adequate source of working capital would have a material adverse impact on their respective businesses, cash flows and financial performance. The availability and prices of green coffee are subject to wide fluctuations, including impacts from factors outside of our control such as changes in weather conditions, climate change, rising sea levels, crop disease, plantings, government programs and policies, competition, and changes in global demand. These price fluctuations can adversely affect the business of each of Falcon and RTC.</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ability to maintain our high-quality coffee product offering depends in part on our ability to acquire ingredients that meet our specifications from reliable suppliers. To date, notwithstanding the current supply chain disruptions which we believe have contributed to increased costs, deliveries have been consistent and not a source of material disruption to our business. However, shortages or interruptions in the supply of ingredients caused by unanticipated demand, problems in production or distribution, coffee bean contamination, inclement weather or other conditions could adversely affect the availability and quality of our ingredients in the future, which could harm our business, financial condition or results of operations. If any of our distributors or suppliers performs inadequately, or our distribution or supply relationships are materially disrupted for any reason, our business, financial condition or results of operations could be adversely affected. If we cannot replace or engage distributors or suppliers who meet our specifications in a short period of time, that could increase our expenses and cause coffee shortages, which could cause a customer to purchase less of our coffee products. If that were to happen, affected customers could experience significant reductions in sales during the shortage or thereafter, if coffee drinkers change their preferences as a result. This reduction in sales could materially adversely affect our business, financial condition or results of operations.</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 addition, our approach to competing in the beverage industry depends in large part on our continued ability to provide coffee products that are sustainably sourced. As we increase our use of these ingredients, the ability of our suppliers to expand output or otherwise increase their supplies to meet our needs may be constrained. We could face difficulties to obtain a sufficient and consistent supply of these ingredients on a cost-effective basis.</w:t>
      </w:r>
    </w:p>
    <w:p>
      <w:pPr>
        <w:spacing w:after="0" w:line="176" w:lineRule="exact"/>
        <w:rPr>
          <w:sz w:val="20"/>
          <w:szCs w:val="20"/>
          <w:color w:val="auto"/>
        </w:rPr>
      </w:pPr>
    </w:p>
    <w:p>
      <w:pPr>
        <w:ind w:left="60" w:right="2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industry for coffee and liquid extract consumables is highly competitive, resulting in a high degree of competitive pressure on our products. Our inability to maintain or grow market share through continued differentiation of our products and competitive pricing could adversely affect our financial condition, operating results and cash flow.</w:t>
      </w:r>
    </w:p>
    <w:p>
      <w:pPr>
        <w:spacing w:after="0" w:line="157" w:lineRule="exact"/>
        <w:rPr>
          <w:sz w:val="20"/>
          <w:szCs w:val="20"/>
          <w:color w:val="auto"/>
        </w:rPr>
      </w:pPr>
    </w:p>
    <w:p>
      <w:pPr>
        <w:ind w:left="60" w:right="319"/>
        <w:spacing w:after="0" w:line="274" w:lineRule="auto"/>
        <w:rPr>
          <w:sz w:val="20"/>
          <w:szCs w:val="20"/>
          <w:color w:val="auto"/>
        </w:rPr>
      </w:pPr>
      <w:r>
        <w:rPr>
          <w:rFonts w:ascii="Times New Roman" w:cs="Times New Roman" w:eastAsia="Times New Roman" w:hAnsi="Times New Roman"/>
          <w:sz w:val="17"/>
          <w:szCs w:val="17"/>
          <w:color w:val="auto"/>
        </w:rPr>
        <w:t>Our industry is highly competitive, including with respect to price, product quality and sourcing techniques, and competition could become increasingly intense due to the relatively low barriers to entry and industry consolidation. We face competition from many sources that vary in size and sophistication, including institutional foodservice divisions of multinational manufacturers of retail products, wholesale foodservice distributors, regional and national coffee roasters, specialty coffee suppliers, and retail brand beverage manufacturers, many of which have greater financial and other resources than we do and may have lower fixed costs and/or are substantially less leveraged than our company.</w:t>
      </w:r>
    </w:p>
    <w:p>
      <w:pPr>
        <w:spacing w:after="0" w:line="173"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Competitive pressures can, among other things, restrict our ability to increase prices and maintain price increases in response to commodity and other cost increases. Our inability to effectively assess, timely adapt and properly set pricing may negatively affect our ability to achieve the objectives of such price increases.</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consider our roasting and blending methods essential to the flavor and richness of our coffees. Because our roasting methods cannot be patented, we would be unable to prevent competitors from copying these methods if such methods became known. In addition, competitors may be able to develop roasting or blending methods that are more advanced than our production methods, which may also harm our competitive position.</w:t>
      </w:r>
    </w:p>
    <w:p>
      <w:pPr>
        <w:spacing w:after="0" w:line="176" w:lineRule="exact"/>
        <w:rPr>
          <w:sz w:val="20"/>
          <w:szCs w:val="20"/>
          <w:color w:val="auto"/>
        </w:rPr>
      </w:pPr>
    </w:p>
    <w:p>
      <w:pPr>
        <w:ind w:left="6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in coffee or other beverage channels may adversely affect sales of our products. If we do not succeed in differentiating ourselves through our product offerings or if we are not effective in setting proper pricing, then our competitive position may be weakened, we could fail to retain our existing customer base, and our sales and profitability may decline. Our inability to secure an adequate supply of key raw materials, including green coffee and tea, or disruption in our supply chain, could result in increased costs and adversely affect our business.</w:t>
      </w:r>
    </w:p>
    <w:p>
      <w:pPr>
        <w:spacing w:after="0" w:line="183" w:lineRule="exact"/>
        <w:rPr>
          <w:sz w:val="20"/>
          <w:szCs w:val="20"/>
          <w:color w:val="auto"/>
        </w:rPr>
      </w:pPr>
    </w:p>
    <w:p>
      <w:pPr>
        <w:ind w:left="60" w:right="299"/>
        <w:spacing w:after="0" w:line="274" w:lineRule="auto"/>
        <w:rPr>
          <w:sz w:val="20"/>
          <w:szCs w:val="20"/>
          <w:color w:val="auto"/>
        </w:rPr>
      </w:pPr>
      <w:r>
        <w:rPr>
          <w:rFonts w:ascii="Times New Roman" w:cs="Times New Roman" w:eastAsia="Times New Roman" w:hAnsi="Times New Roman"/>
          <w:sz w:val="17"/>
          <w:szCs w:val="17"/>
          <w:color w:val="auto"/>
        </w:rPr>
        <w:t>Our business depends on our relations with key suppliers to maintain a steady supply of green coffee and tea. If any of these supply relationships deteriorate or we are unable to renegotiate contracts with suppliers (with similar or more favorable terms) or find alternative sources for supply, we may be unable to procure a sufficient quantity of high-quality coffee beans, tea and other raw materials at prices acceptable to us or at all which could negatively affect our results of operations. Further, nonperformance by suppliers could expose us to supply risk under coffee purchase commitments for delivery in the future. Additionally, supply is affected by many factors in the coffee-growing countries including</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weather, pest damage, economic conditions, acts of terrorism, as well as efforts by coffee growers to expand or form cartels or associations. Our operations are also exposed to the political and social environment of the emerging and less developed markets from which we source coffee beans, including Africa, Indonesia, and Central and South America. These regions have the potential for civil and political unrest, and such instability could affect our ability to purchase coffee from those regions. If green coffee beans from a region become unavailable or prohibitively expensive, we could be forced to use alternative coffee beans or discontinue certain blends, which could adversely impact our sales. Any material interruption in our supply chain, such as material interruption of roasted coffee supply due to the casualty loss at any of our roasting plants or suppliers,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impact on our business and our profitability. Product shortages could result in disruptions in our ability to deliver products to our customers, a deterioration of our relationship with our customers, decreased revenues or an inability to expand our business.</w:t>
      </w:r>
    </w:p>
    <w:p>
      <w:pPr>
        <w:spacing w:after="0" w:line="183"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control problems or food safety issues could adversely affect our sales and brand reputation, lead to product recalls or result in product liability claims.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Selling products for human consumption involves inherent legal risks. Our success depends on our ability to provide customers with high-quality products and service. Although we take measures to ensure that we sell only fresh products, we have no control over our products once they are purchased by our customers. Additionally, clean water is critical to the preparation of coffee, tea and other beverages, and we have no ability to ensure that our customers use a clean water supply to prepare these beverages. Instances or reports of food safety issues involving our products, whether or not accurate, such as unclean water supply, food or beverage-borne illnesses, tampering, contamination, mislabeling, or other food or beverage safety issues, including due to the failure of our third-party co-packers to maintain the quality of our products and to comply with our product specifications, could damage the value of our brands, negatively impact sales of our products, and potentially lead to product recalls, production interruptions, product liability claims, litigation or damages. A significant product liability claim against us, whether or not successful, or a widespread product recall, may reduce our sales and harm our business.</w:t>
      </w:r>
    </w:p>
    <w:p>
      <w:pPr>
        <w:spacing w:after="0" w:line="188"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severe weather patterns, and water scarcity could have a material adverse effect on our business and results of operations.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Increasing concentrations of carbon dioxide and other greenhouse gases in the atmosphere will continue to have an adverse effect on global temperatures, weather patterns, and the frequency and severity of extreme weather events and natural disasters. Coffee growing countries have been dramatically affected by these climate changes. The rainy and dry seasons are becoming unpredictable in their start and length, which is affecting the development of coffee cherries. These weather pattern changes, by reducing agricultural productivity in certain regions, may reduce the supply and quality of important agricultural ingredients for our products and drive up their costs, and this could have a material adverse effect on our business, financial condition, or results of operations. Water is used throughout the production of coffee from growing at the farm, cooling the beans after roasting, and brewing products for consumption. Scarcity of water sources in our supply chain could also constrain our supply and increase costs. In addition to these impacts, more frequently occurring or longer-duration extreme weather events or increased severity of such conditions could disrupt our supply chain, damage our production capabilities and reduce demand for our products. As a result, the changing global climate could adversely affect our long-term performance.</w:t>
      </w:r>
    </w:p>
    <w:p>
      <w:pPr>
        <w:spacing w:after="0" w:line="200" w:lineRule="exact"/>
        <w:rPr>
          <w:sz w:val="20"/>
          <w:szCs w:val="20"/>
          <w:color w:val="auto"/>
        </w:rPr>
      </w:pPr>
    </w:p>
    <w:p>
      <w:pPr>
        <w:spacing w:after="0" w:line="20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fluctuate as a result of seasonality.</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mid-September through April. Our quarterly operating results may fluctuate as a result of these seasonal trends. If we are unable to adjust our production to these seasonal variations, we may not be able to fulfill demand for our products or we may overproduce our products, either of which could adversely affect our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General Economic Conditions</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resurgence of the novel coronavirus, or COVID-19, and emergence of new variants of the virus could materially adversely affect our financial condition and results of operations.</w:t>
      </w:r>
    </w:p>
    <w:p>
      <w:pPr>
        <w:spacing w:after="0" w:line="15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In fiscal years 2020 and 2021, the COVID-19 pandemic had a material impact on our financial condition and results of operations. The measures taken around the country to contain the spread of the virus adversely affected our business and those of our customers. The outbreak led to the implementation of restrictive measures by federal, state and local government authorities in an effort to contain COVID-19. These measures included travel bans and restrictions, quarantines, shelter-in-place orders, and shutdowns and constrained our workforce and operations, the operations of our customers, and those of our respective vendors and suppliers. While almost all of these restrictions have been eased, the emergence of new variants or sub-variants of COVID-19 (some of which may be more transmissible or more lethal) may result in the reinstitution of certain of the restrictions and increased economic uncertainty, which could have a material adverse effect on our financial condition and results of operations.</w:t>
      </w:r>
    </w:p>
    <w:p>
      <w:pPr>
        <w:spacing w:after="0" w:line="18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profits depend on the level of customer spending for discretionary items, which is sensitive to general economic conditions and other factors.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products are discretionary items for end-use customers. Therefore, the success of our business depends significantly on economic factors and trends in consumer spending. There are a number of factors that influence consumer spending, including actual and perceived economic conditions, consumer confidence, disposable consumer income, consumer credit availability, unemployment, and tax rates in the markets where our products are sold to end-use customers. Consumers also have discretion as to where to spend their disposable income and may choose to purchase other items. As global economic conditions continue to be volatile, and economic uncertainty remains, trends in consumer discretionary spending also remain unpredictable and subject to declines. Any of these factors could harm discretionary consumer spending, resulting in a reduction in demand for our products, decreased prices, increased costs to make sales, and harm to our business and results of operations.</w:t>
      </w:r>
    </w:p>
    <w:p>
      <w:pPr>
        <w:spacing w:after="0" w:line="184"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our suppliers are subject to macroeconomic conditions that, in the event of deterioration, could adversely affect our financial condition, operating results and cash flow.</w:t>
      </w:r>
    </w:p>
    <w:p>
      <w:pPr>
        <w:spacing w:after="0" w:line="15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Global economic forces and conditions beyond our control affect our business both directly and indirectly through the business of our suppliers. We depend on developing and maintaining close relationships with our suppliers to sell us quality products on favorable terms. These relationships can be harmed by macro-economic factors beyond our control, including a general decline in the economy and economic conditions, the ongoing war between Russia and Ukraine, and inflation in the costs for goods and services. These events could negatively influence our suppliers, making it more difficult for them to meet their delivery and product-quality obligations to us.</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Westrock board of directors is responsible for overseeing the risks to Westrock related to the ongoing conflict between Russia and Ukraine. The Westrock board of directors has been routinely evaluating with Westrock’s management and its financial advisors the possible impact of such conflict on Westrock, including increased risk of cybersecurity attacks, supply chain disruptions and commodity price increases. As Westrock does not have direct operations or material direct customers in Russia or Ukraine, the direct impact of the ongoing conflict on Westrock is likely to be limited. Nonetheless, global macro-economic effects of the conflict, such as higher interest rates and higher coffee commodity prices may increase our costs, which we may not be able to pass on to our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and operational difficulties faced by both us and our suppliers could also increase the cost of the products we purchase, the timing of settlement for our obligations to the suppliers, or our ability to source products from them. We might not be able to pass on our increased costs to our customers and, to the extent these difficulties impact the timing of settlement for our obligation to the supplier, we may have a decrease in our cash flow from operations and may have to use our various financing arrangements for short-term liquidity needs.</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cost increases related to inflation are having, and could continue to have, an adverse effect on our business, operating results and financial condition.</w:t>
      </w:r>
    </w:p>
    <w:p>
      <w:pPr>
        <w:spacing w:after="0" w:line="15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2021 and 2022, we experienced inflationary cost increases in our underlying expenses, including commodity prices, interest rates, transportation costs and labor. We have also been impacted by global supply chain disruption, which has increased lead times, working capital needs and freight costs. While we have taken steps to minimize the impact of these increased costs by working closely with our suppliers and customers, global supply chain disruption may deteriorate and inflationary pressures may increase further in 2023, which could adversely affect our business, financial condition, results of operations and cash flows.</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2021 and 2022, the global supply chain disruptions increased lead times for obtaining raw materials coming from outside of the U.S. for use in our Beverage Solutions segment. Overall, we saw ocean freight voyage time increase by upwards of 15 days, with unexpected transshipment stops related to container delays. In addition, these disruptions led to an increase in ocean freight costs as well as over-the-road haulage domestically, that impacted both our Beverage Solutions and Sustainable Sourcing &amp; Traceability segments. To mitigate these disruptions, we worked with vendors to increase the amount of on-hand inventory in U.S. warehouses from 3 weeks to 10 weeks of stock levels. In addition, we continued to purchase on a forward basis, sufficient volumes needed to compensate for ocean freight delays. At the beginning of 2021, we signed a 3-year agreement with our largest U.S. warehouse and over the road haulage vendor that allowed for a fuel surcharge in exchange for a dedicated fleet. While our inbound over-the-road freight rates increased in 2022 compared to 2021, due to fuel price increases, we have not experienced any lack of available trucking assets. We may not be able to pass all of the impact onto our customers, which will negatively impact our results.</w:t>
      </w:r>
    </w:p>
    <w:p>
      <w:pPr>
        <w:spacing w:after="0" w:line="19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Westrock attempts to mitigate the impacts of inflation and supply chain disruptions, wherever possible. Our mitigation strategies, including working with our warehouse and over the road haulage vendors, have provided us the necessary flexibility to respond to the risks, and have ensured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 At this time, it is too early to determine what impact these inflationary pressures and supply chain disruptions will have on our long-term growth strategies, as there is uncertainty in how long these risks may persist, and to what extent we will be successful in passing these increased costs to our customers.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principal properties used by Westrock in connection with its roasting, manufacturing, and distribution operations, by segment as of December 31, 2022.</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3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 / Leased</w:t>
            </w:r>
          </w:p>
        </w:tc>
        <w:tc>
          <w:tcPr>
            <w:tcW w:w="13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3"/>
        </w:trPr>
        <w:tc>
          <w:tcPr>
            <w:tcW w:w="204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76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Concord, NC (Main)</w:t>
            </w:r>
          </w:p>
        </w:tc>
        <w:tc>
          <w:tcPr>
            <w:tcW w:w="1400" w:type="dxa"/>
            <w:vAlign w:val="bottom"/>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256,000</w:t>
            </w:r>
          </w:p>
        </w:tc>
        <w:tc>
          <w:tcPr>
            <w:tcW w:w="27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shd w:val="clear" w:color="auto" w:fill="CCEEFF"/>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Concord, NC (West Winds)</w:t>
            </w:r>
          </w:p>
        </w:tc>
        <w:tc>
          <w:tcPr>
            <w:tcW w:w="1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49,000</w:t>
            </w: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Concord, NC (Commercial Park)</w:t>
            </w:r>
          </w:p>
        </w:tc>
        <w:tc>
          <w:tcPr>
            <w:tcW w:w="1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2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(Gregory)</w:t>
            </w:r>
          </w:p>
        </w:tc>
        <w:tc>
          <w:tcPr>
            <w:tcW w:w="1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133,000</w:t>
            </w: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3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(Collins)</w:t>
            </w:r>
          </w:p>
        </w:tc>
        <w:tc>
          <w:tcPr>
            <w:tcW w:w="1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86,000</w:t>
            </w:r>
          </w:p>
        </w:tc>
        <w:tc>
          <w:tcPr>
            <w:tcW w:w="2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(Boulevard)</w:t>
            </w:r>
          </w:p>
        </w:tc>
        <w:tc>
          <w:tcPr>
            <w:tcW w:w="1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Conway, AR</w:t>
            </w:r>
          </w:p>
        </w:tc>
        <w:tc>
          <w:tcPr>
            <w:tcW w:w="1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524,000</w:t>
            </w:r>
          </w:p>
        </w:tc>
        <w:tc>
          <w:tcPr>
            <w:tcW w:w="2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2"/>
                <w:szCs w:val="12"/>
                <w:color w:val="auto"/>
              </w:rPr>
              <w:t>Manufacturing, Distribution</w:t>
            </w:r>
            <w:r>
              <w:rPr>
                <w:rFonts w:ascii="Times New Roman" w:cs="Times New Roman" w:eastAsia="Times New Roman" w:hAnsi="Times New Roman"/>
                <w:sz w:val="17"/>
                <w:szCs w:val="17"/>
                <w:color w:val="auto"/>
                <w:vertAlign w:val="superscript"/>
              </w:rPr>
              <w:t>(1)</w:t>
            </w:r>
          </w:p>
        </w:tc>
        <w:tc>
          <w:tcPr>
            <w:tcW w:w="134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Richmond, CA</w:t>
            </w:r>
          </w:p>
        </w:tc>
        <w:tc>
          <w:tcPr>
            <w:tcW w:w="1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48,530</w:t>
            </w: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Distribution</w:t>
            </w:r>
          </w:p>
        </w:tc>
        <w:tc>
          <w:tcPr>
            <w:tcW w:w="13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Kigali, Rwanda</w:t>
            </w:r>
          </w:p>
        </w:tc>
        <w:tc>
          <w:tcPr>
            <w:tcW w:w="1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64,000</w:t>
            </w:r>
          </w:p>
        </w:tc>
        <w:tc>
          <w:tcPr>
            <w:tcW w:w="2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Export</w:t>
            </w:r>
          </w:p>
        </w:tc>
        <w:tc>
          <w:tcPr>
            <w:tcW w:w="134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136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SS&amp;T</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Johor Bahru, Malaysia</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92,000</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Leased</w:t>
            </w:r>
          </w:p>
        </w:tc>
        <w:tc>
          <w:tcPr>
            <w:tcW w:w="13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Company is currently completing the build-out of this facility, which is expected to begin commercial production in 2024.</w:t>
      </w:r>
    </w:p>
    <w:p>
      <w:pPr>
        <w:spacing w:after="0" w:line="20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sites are adequate to support the business and that the properties have been well maintained.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A description of the legal proceedings can be found in Note 21, Commitments and Contingencies, to the consolidated financial statements included in Item 8 of Part II of this Annual Report on Form 10-K, and is incorporated into this Item 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Registrant’s Common Equity, Related Shareholder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Westrock’s Common Shares and Public Warrants are listed on the Nasdaq Global Market under the symbols “WEST” and “WESTW”, respectively. As of December 31, 2022, there were 81 holders of record of our Common Shares and 2 holders of record of our Public Warrants, which does not include holders whose shares are held in nominee or “street name” accounts through banks, brokers or other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our Common Shares as of December 31, 2022.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returns for our Common Shares from August 29, 2022 through December 31, 2022, relative to the performance of the Nasdaq Composite Total Return (broad market comparison), the S&amp;P 500 (broad market comparison) and the S&amp;P Food and Beverage Select Industry Index (line of business comparison). The graph assumes $100 was invested in the Company’s Common Shares and each of the indices listed above on August 29, 2022 (and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128270</wp:posOffset>
            </wp:positionV>
            <wp:extent cx="5263515" cy="2802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351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During the quarter ended December 31, 2022, there was no share repurchase activity made by or on behalf of the Company.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discussion of our financial condition at December 31, 2022 and December 31, 2021 and our results of operations for each of the years in the three-year period ended December 31, 2022. The purpose of this management’s discussion and analysis of financial condition and results of operations is to focus on material information relevant to an assessment of our financial condition and results of operations that is not otherwise apparent from the consolidated financial statements and footnotes. This discussion should be read in conjunction with the disclosure regarding “Forward-Looking Information” in Part I, as well as the risks discussed under Part I, Item 1A Risk Factors, and our consolidated financial statements and notes thereto included under Item 8 Financial Statements and Supplementary Data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our previously announced de-SPAC merger transaction (the “Transaction”) with Riverview Acquisition Corp. (“Riverview”), the Company converted (the “Conversion”) from a Delaware limited liability company to a Delaware corporation and changed its name from “Westrock Coffee Holdings, LLC” (the “Converting Company”) to “Westrock Coffee Company.”</w:t>
      </w:r>
    </w:p>
    <w:p>
      <w:pPr>
        <w:spacing w:after="0" w:line="15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185"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60"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use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7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9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reconciliation of our net loss to EBITDA and Adjusted EBITDA for the year ended December 31, 2022, 2021 and 2020 is as follows: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write-offs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Reportable Segments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right="139" w:hanging="10"/>
        <w:spacing w:after="0" w:line="236" w:lineRule="auto"/>
        <w:tabs>
          <w:tab w:leader="none" w:pos="26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$6.3 million relates to net unrealized gains, representing the effective portion of cash-flow hedges, that were recorded in accumulated other comprehensive income of S&amp;D immediately prior to its acquisition by Westrock, which were to be reclassified into earnings over the next twelve months when inventory was sold. Although these unrealized gains were written-off in purchase accounting, the Company’s debt agreements explicitly allowed for the recognition of these gains in the Company’s determination of Adjusted EBITDA for covenant compliacnce calculations.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 with Riverview Acquisition Corp.</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On August 26, 2022, the Company completed the Transaction with Riverview (“Closing”). At Closing, the Company issued 12,868,151 shares of common stock of the Company (“Common Shares”) to public and class B shareholders of Riverview, receiving $49.8 million of the cash held in the trust account of Riverview, which is net of $17.1 million of Riverview transaction expenses offset against proceeds received by the Company at Closing. The 12,868,151 shares include 1,910,000 shares issued to PIPE investors who elected to satisfy their PIPE commitments through the purchase of Riverview Class A Shares on the public market, pursuant to the terms of their respective subscription agreements.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Substantially concurrently with the Closing, the Company received $205.9 million in cash proceeds (which amount excludes contribution to the Company of certain related party notes as described in Note 12 to our Consolidated Financial Statements) from common stock PIPE investments (the “PIPE Financing”), issued 20,590,000 Common Shares to the PIPE investors (which share amount excludes the conversion of the related party notes as described in Note 12 to our Consolidated Financial Statements), and entered into a credit agreement (the “Credit Agreement”) that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Transaction and the Term Loan Facility were used to pay off and terminate our then existing term loan and asset-based lending agreements, and to pay expenses related to the Transaction and the Credit Agreement.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Pre-Funding</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on July 14, 2022, pursuant to the terms of the subscription agreement entered into between the Company and Wooster Capital, LLC (“Wooster”), in which Wooster agreed to subscribe for and purchase, and the Company agreed to issue and sell to Wooster, prior to and substantially concurrently with the Closing, an aggregate of 2,150,000 Common Shares at a purchase price of $10.00 per share, for aggregate gross proceeds of $21,500,000 to the Company, Wooster pre-funded $11.7 million of its commitment (the “Wooster Pre-fund”) and in exchange thereof was issued a subordinated convertible note by the Company (the “Convertible Note”). The Convertible Note had a principal amount of $11.7 million, a maturity of one year and an interest rate of 8% per annum that was payable quarterly on the last business day of each quarter. On August 26, 2022, in connection with the Closing, the Convertible Note automatically converted, in accordance with its terms, into 1,170,000 Common Shares.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Kohana Coffee, LLC</w:t>
      </w:r>
    </w:p>
    <w:p>
      <w:pPr>
        <w:spacing w:after="0" w:line="229"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On November 14, 2022, Westrock Beverage Solutions, LLC, a Delaware limited liability company and wholly owned subsidiary of the Company, acquired one hundred percent (100%) of the equity securities of Richmond, California-based Kohana Coffee, LLC (“Kohana Coffee”), a Texas limited liability company. The acquisition of Kohana Coffee allows Westrock to accelerate the development, production and distribution of ready-to-drink products in cans and multi-serve bottles to meet increasing customer demand and expands the Company’s extraction and packaging capabilities.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to Credit Agreement</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“Amendment”) to its Credit Agreement, which establishes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interest rates under the Delayed Draw Term Loan Facility are the same as the interest rates with respect to the initial term loans under the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Annual Report on Form 10-K, no borrowings have been made under the Delayed Draw Term Loan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Bixby Roasting Co.</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Bixby Roasting Co. (“Bixby”), a specialty-grade roaster that is a leader in the emerging influencer-led brand space. The acquisition allows Westrock to continue to expand its product marketing and development resources as it capitalizes on shifting consumer consumption trends. The acquisition includes Bixby’s roasting facility in Los Angeles, California. See Note 23 to our Consolidated Financial Statements for additional discussion related to the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Falcon Facility</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21, 2023, the Company entered into a $70 million working capital trade finance facility with multiple financial institutions through its subsidiary, Falcon. The facility replaces Falcon’s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i) Term SOFR plus a margin of 4.00% plus a liquidity premium set by the lender at the time of borrowing or ii) the Base Rate (determined by reference to the greatest of i) the Prime Rate at such time, ii) ½ of</w:t>
      </w:r>
    </w:p>
    <w:p>
      <w:pPr>
        <w:spacing w:after="0" w:line="5"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1% in excess of the Federal Funds Effective Rate at such time, and iii) Term SOFR for a one-month tenor in effect at such time plus 1%.</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60" w:type="dxa"/>
            <w:vAlign w:val="bottom"/>
          </w:tcPr>
          <w:p>
            <w:pPr>
              <w:spacing w:after="0"/>
              <w:rPr>
                <w:sz w:val="15"/>
                <w:szCs w:val="15"/>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144,089</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137,584</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Borders>
              <w:top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convertible preferred 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on extinguishment of Redeemable Common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 Preferred Units, net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equivalent preferred dividends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Accumulating preferred dividends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of our reportable segments for the year ended December 31, 2022 and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of</w:t>
            </w:r>
          </w:p>
        </w:tc>
        <w:tc>
          <w:tcPr>
            <w:tcW w:w="0" w:type="dxa"/>
            <w:vAlign w:val="bottom"/>
          </w:tcPr>
          <w:p>
            <w:pPr>
              <w:spacing w:after="0"/>
              <w:rPr>
                <w:sz w:val="1"/>
                <w:szCs w:val="1"/>
                <w:color w:val="auto"/>
              </w:rPr>
            </w:pPr>
          </w:p>
        </w:tc>
      </w:tr>
      <w:tr>
        <w:trPr>
          <w:trHeight w:val="146"/>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5"/>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$ 685,303</w:t>
            </w:r>
          </w:p>
        </w:tc>
        <w:tc>
          <w:tcPr>
            <w:tcW w:w="200" w:type="dxa"/>
            <w:vAlign w:val="bottom"/>
          </w:tcPr>
          <w:p>
            <w:pPr>
              <w:spacing w:after="0"/>
              <w:rPr>
                <w:sz w:val="18"/>
                <w:szCs w:val="18"/>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$ 207,579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(25,010)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$ 867,872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170,035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Costs of Sales: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170,496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423,314</w:t>
            </w:r>
          </w:p>
        </w:tc>
        <w:tc>
          <w:tcPr>
            <w:tcW w:w="200" w:type="dxa"/>
            <w:vAlign w:val="bottom"/>
          </w:tcPr>
          <w:p>
            <w:pPr>
              <w:spacing w:after="0"/>
              <w:rPr>
                <w:sz w:val="18"/>
                <w:szCs w:val="18"/>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129,407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200" w:type="dxa"/>
            <w:vAlign w:val="bottom"/>
          </w:tcPr>
          <w:p>
            <w:pPr>
              <w:spacing w:after="0"/>
              <w:rPr>
                <w:sz w:val="18"/>
                <w:szCs w:val="18"/>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12,073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17,724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6,102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00" w:type="dxa"/>
            <w:vAlign w:val="bottom"/>
          </w:tcPr>
          <w:p>
            <w:pPr>
              <w:spacing w:after="0"/>
              <w:rPr>
                <w:sz w:val="18"/>
                <w:szCs w:val="18"/>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5,706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7.9 %</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Intersegment revenues represent sales of green coffee from our SS&amp;T segment to our Beverage Solutions Segment.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Net Sales from our Beverage Solutions segment were $685.3 million for the year ended December 31, 2022, compared to $551.0 million for the year ended December 31, 2021, an increase of 24%. The increase was due to a $121.5 million increase in the sale of coffee &amp; tea products, driven by a 50% increase in single serve cup volumes, and an increase in underlying green coffee prices compared to the year ended December 31, 2021, partially offset by a 7% decrease in roast and ground coffee products and a 5% decrease in tea products, driven in part by higher inflation impacting end-consumer demand.</w:t>
      </w:r>
    </w:p>
    <w:p>
      <w:pPr>
        <w:spacing w:after="0" w:line="18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Net Sales from our SS&amp;T segment totaled $182.6 million, net of intersegment revenues, during the year ended December 31, 2022, increasing 24% compared to $147.1 million, net of intersegment revenues, during the year ended December 31, 2021. The increase is driven by an increase in the average sales price per pound, which increased 35% for the year ended December 31, 2022 compared to the year ended December 31, 2021. The increase in the average sales price per pound is directly correlated to the global commodities price. SS&amp;T sales volume decreased 9% for the year ended December 31, 2022 compared to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to $544.6 million for the year ended December 31, 2022, from $423.3 million for the year ended December 31, 2021. The increase in costs of sales is primary due to a $116.7 million increase in green coffee and tea, driven by higher single serve cup sales volume and commodity price increases, specifically related to green coffee.</w:t>
      </w:r>
    </w:p>
    <w:p>
      <w:pPr>
        <w:spacing w:after="0" w:line="18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increased $41.1 million to $170.5 million for the year ended December 31, 2022 compared to the year ended December 31, 2021. This increase is primarily due to an increase in green coffee costs driven by an increase in underlying commodities pricings. Costs of sales for the year ended December 31, 2022 included $3.5 million of net unrealized losses on forward sales and purchase contracts and mark-to-market adjustment on green coffee inventory compared to $3.6 million of net unrealized gains on forward sales and purchase contracts and mark-to-market adjustments on green coffee inventory for the year ended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increased $0.2 million to $119.9 million for the year ended December 31, 2022, compared to the year ended December 31, 2021. The increase is primarily due to a $5.3 million increase in legal and professional fees, which primarily related to additional costs of operations as a public company, and a $1.9 million increase in freight costs, partially offset by a $5.4 million decrease in personnel-related expenses, primarily the reduction of short-term cash incentive compensation, for the year ended December 31, 2022 compared to the year ended December 31, 2021. In our SS&amp;T segment, selling, general and administrative costs increased $1.3 million for the year ended December 31, 2022, including a $0.4 million increase in personnel-related costs, compared to the year ended December 31,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Integration Expense</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Acquisition, restructuring and integration expenses for the year ended December 31, 2022 were $13.2 million, $5.3 million of which related to the continued integration of the acquired S&amp;D business onto our enterprise resource planning system and $5.6 million of which related to public-company preparedness costs. During the year ended December 31, 2021, we incurred $8.8 million of acquisition, restructuring and integration expenses, $3.2 million of which related to restructuring costs, primarily attributable to optimizing our sales organization, $2.0 million of which related to integration costs related to the acquired S&amp;D business, $1.7 million of which related to the integration of our enterprise resource planning system and $1.0 million of public-company preparedness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facility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term loan facility early termination fee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ABL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related party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Subordinated related party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9"/>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Payments-in-kind interest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Interest expense for the year ended December 31, 2022 was $35.5 million compared to $32.5 million for the year ended December 31, 2021. The increase is primarily due to a $4.3 million write off of unamortized deferred financing fees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associated with the termination of the Prior Term Loan Facility and Prior ABL Facility and $1.6 million of early termination payments associated with the Prior Term Loan Facility. No such costs were incurred in the year ended December 31, 2021. These increases were partially offset by $4.1 million of cash interest savings as a result of the entry into the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$0.1 million, resulting in an effective tax rate of (0.20%). Our income tax expense for the year ended December 31, 2022 is primarily comprised of federal and state benefits, at statutory rates, of $13.1 million, offset by $6.2 million of tax expense resulting from the change in fair value of warrants and $7.3 million of expense related to increases in the valuation allowance against our deferred tax assets.</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2021 was $3.4 million, resulting in an effective tax rate of 13.6%. Our income tax benefit for the year ended December 31, 2021 is primarily comprised of federal and state benefits, at statutory rates, of $6.0 million, partially offset by $1.2 million of negative impacts related to the impact of changes in foreign tax rates on our tax benefit.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443,644</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(120,634)</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(146,410)</w:t>
            </w:r>
          </w:p>
        </w:tc>
        <w:tc>
          <w:tcPr>
            <w:tcW w:w="140" w:type="dxa"/>
            <w:vAlign w:val="bottom"/>
            <w:vMerge w:val="continue"/>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(17,545)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4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(128,865)</w:t>
            </w:r>
          </w:p>
        </w:tc>
        <w:tc>
          <w:tcPr>
            <w:tcW w:w="140" w:type="dxa"/>
            <w:vAlign w:val="bottom"/>
            <w:vMerge w:val="continue"/>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(129,171)</w:t>
            </w:r>
          </w:p>
        </w:tc>
        <w:tc>
          <w:tcPr>
            <w:tcW w:w="1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Accumulating preferred dividends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(18,513)</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Our 2020 financial results reflect our ownership of S&amp;D Coffee Inc (“S&amp;D”) (see Note 6 to our Consolidated Financial Statements) for 10 months in fiscal year 2020, while our 2021 financial results reflect our ownership of S&amp;D for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entire fiscal year. As such, comparability of our financial results on a year-over-year basis might be impacted by these reporting differences.</w:t>
      </w:r>
    </w:p>
    <w:p>
      <w:pPr>
        <w:spacing w:after="0" w:line="16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years ended December 31, 2021 and 2020, selected financial information of our reportable segments.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46"/>
        </w:trPr>
        <w:tc>
          <w:tcPr>
            <w:tcW w:w="4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80" w:type="dxa"/>
            <w:vAlign w:val="bottom"/>
            <w:gridSpan w:val="2"/>
            <w:vMerge w:val="continue"/>
          </w:tcPr>
          <w:p>
            <w:pPr>
              <w:spacing w:after="0"/>
              <w:rPr>
                <w:sz w:val="12"/>
                <w:szCs w:val="12"/>
                <w:color w:val="auto"/>
              </w:rPr>
            </w:pPr>
          </w:p>
        </w:tc>
        <w:tc>
          <w:tcPr>
            <w:tcW w:w="106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6"/>
        </w:trPr>
        <w:tc>
          <w:tcPr>
            <w:tcW w:w="4740" w:type="dxa"/>
            <w:vAlign w:val="bottom"/>
            <w:gridSpan w:val="3"/>
            <w:vMerge w:val="continue"/>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2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$ 551,013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$ 170,035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(22,904)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$ 698,144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Costs of Sales: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330,310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113,334</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Intersegment revenues represent sales of green coffee from our SS&amp;T segment to our Beverage Solutions Segment.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Net sales from our Beverage Solutions segment for the year ended December 31, 2021 were $551.0 million, compared to $424.9 million for the year ended December 31, 2020. $62.6 million of the increase was due to the inclusion of revenues from the acquired S&amp;D business for the full year 2021, compared to only ten months of activity in 2020. The remaining increase is the result of increased volumes of single serve cups sold (up 36%) and increased liquid extract gallons sold (up 13%) compared to the prior year.</w:t>
      </w:r>
    </w:p>
    <w:p>
      <w:pPr>
        <w:spacing w:after="0" w:line="183"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SS&amp;T net sales totaled $147.1 million, net of intersegment revenues, during the year ended December 31, 2021 compared to $125.9 million during the year ended December 31, 2020, primarily due to increases in underlying commodities pricing, as the volume of green coffee sold was essentially flat year-over-year.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to $423.3 million for the year ended December 31, 2021, compared to $330.3 million for the year ended December 31, 2020. The increase is primarily due to a $67.5 million increase in green coffee, tea and liquid extracts costs, driven by higher volumes and commodity price increases, specifically related to green coffee. In addition, manufacturing labor costs increased $11.5 million as a result of increased labor rates and staffing level to meet production requirements. However, costs of sales as a percent of segment revenues decreased to 77% for the year ended December 31, 2021, from 78% for the year ended December 31, 2020, primarily due to leveraging our manufacturing costs on higher volumes.</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our SS&amp;T segment, costs of sales were $129.4 million for the year ended December 31, 2021, an increase of $16.1 million compared to the year ended December 31, 2020. This increase is primarily due to a $14.0 million increase in green coffee cost driven by an increase in underlying commodities pricings, as volume of green coffee sold was essentially flat year-over-year. Costs of sales as a percent of segment revenues, excluding intersegment revenues, was 88% for the year ended December 31, 2021, compared to 90% for the year ended December 31, 2020, primarily due to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net increase of $3.6 million in unrealized gains resulting from changes in the fair value of our forward purchase and sales contracts and related green coffee commodity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7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0"/>
                <w:szCs w:val="10"/>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Total selling, general and administrative expenses increased $12.9 million year-over-year, primarily due to a $12.1 million increase in costs in our Beverage Solutions segment. This increase is the result of two additional months, or $13.9 million, of costs associated with the acquired S&amp;D business that were incurred in the year ended December 31, 2021 compared to the year ended December 31, 2020, as S&amp;D was acquired on February 28, 2020. In addition, during the year ended December 31, 2021, we incurred $4.0 million of incremental freight costs as a result of higher shipping volumes and increased freight prices compared to the prior year. These increases were partially offset by a decrease in personnel related expenses incurred during the year ended December 31, 2021, compared to the year ended December 31, 2020 primarily due to a reduction in average headcount of approximately 250 FTEs year-over-year.</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Integration Expense</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Acquisition, restructuring and integration expense decreased $13.5 million to $8.8 million during the year ended December 31, 2021. The reduction is primarily due to transaction costs associated with the acquired S&amp;D business ($8.5 million), and restructuring costs associated with the shut-down of the acquired S&amp;D Direct-to-Store Delivery (“DSD”) distribution business ($13.9 million) in 2020, which were not incurred in 2021. During the year ended December 31, 2021, we incurred $1.7 million of costs associated with the integration of our enterprise resource planning system, which will be completed in 2022, $2.0 million of integration costs related to the acquired S&amp;D business, which were delayed due to COVID-19, $3.2 million of restructuring costs, primarily attributable to optimizing our sales organization, and $1.0 million of public-company preparedness costs.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Due to the negative economic impact that COVID-19 had on our business, we performed a goodwill impairment analysis during the second quarter of 2020, resulting in a $76.9 million goodwill impairment charge recorded in our Beverage Solutions segment. Following the acquisition of S&amp;D, and due to the implications of COVID-19 and its related impact on our distribution operations, we assessed the acquired DSD distribution business and determined to close the DSD distribution business in June 2020. As a result of exiting the business and lost revenues supporting the acquired S&amp;D trademark, we fully impaired the trademark, recording a $5.2 million impairment charge for the year ended December 31, 2020.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Property, Plant and Equipment</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incurred losses on the disposal of property, plant and equipment of $7.8 million, of which $5.8 million related to the disposal of equipment associated with the DSD business, which was closed in June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ABL facility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related party 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Subordinated related party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0"/>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Payments-in-kind interest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Interest expense for the year ended December 31, 2021 increased by $7.3 million to $32.5 million. The increase is primarily driven by an increase in interest associated with the Prior Term Loan Facility and the Prior ABL Facility, and the amortization of associated deferred financing costs, which were outstanding for the full year ended December 31, 2021, compared to being outstanding for ten months during the year ended December 31,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2021 was $3.4 million, resulting in an effective tax rate of 13.6%. Our income tax benefit for the year ended December 31, 2021 is primarily comprised of federal and state benefits, at statutory rates of $6.0 million, partially offset by $1.2 million of negative impacts related to the impact of changes in foreign tax rates on our tax benefit.</w:t>
      </w:r>
    </w:p>
    <w:p>
      <w:pPr>
        <w:spacing w:after="0" w:line="18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2020 was $17.5 million, resulting in an effective tax rate of 12.0%. Our income tax benefit for the year ended December 31, 2020 is primarily comprised of federal and state benefits, at statutory rates, of $33.6 million, offset by a $16.6 million permanent difference related to the goodwill impairment charge recorded during the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related notes presented in Item 8 Financial Statements and Supplementary Data in this Annual Report on Form 10-K have been prepared in accordance with accounting principles generally accepted in the United States (“GAAP”). Our significant accounting policies are discussed in Note 3 to the Consolidated Financial Statements. Certain accounting estimates involve a significant level of estimation and uncertainty and require management to make difficult, subjective or complex judgements about matters that are uncertain and have had, or are reasonably likely to have, a material impact on our financial condition or results of operations. Because of the uncertainty involved in these estimates, materially different amounts could be reported under different conditions or using different assumptions.</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receive returns of products from our customers, historically returns have not been material.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 of sales on our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2022,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acquisitions multiples paid in recent transactions. We evaluate the appropriateness of each valuation methodology in determining the weighting applied to each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7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proves to be an accurate prediction of future results. Key assumptions include our expected revenue growth rates, operating profits,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the Company completed a qualitative analysis to evaluate impairment of goodwill and concluded that it was more likely than not that the fair value of our goodwill reporting unit exceeded the carrying amount. We reached this conclusion based on the valuation of our recently completed de-SPAC merger transaction, industry tailwinds, and in consideration of the significant excess fair value over carrying value of the prior year quantitative goodwill impairment evaluation. Our 2021 quantitative goodwill analysis indicated that the estimated fair value of our reporting units exceeded their carrying values by over 50%. We could have increased our weighted average cost of capital by 100 basis points and decreased our terminal growth rate by 100 basis points and the estimated fair value of our reporting units would still exceed their carrying values by over 40%. As a result, the Company concluded that no impairment existed in the year ending December 31, 2022.</w:t>
      </w:r>
    </w:p>
    <w:p>
      <w:pPr>
        <w:spacing w:after="0" w:line="18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conclusions reached as a result of our qualitative assessment are highly subjective. If our conclusions are proven to be incorrect, we may be required to perform a quantitative goodwill analysis in the future, and there can be no assurances that such analysis would not result in an impairment loss.</w:t>
      </w:r>
    </w:p>
    <w:p>
      <w:pPr>
        <w:spacing w:after="0" w:line="1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Following the acquisition of S&amp;D, and due to the implications of COVID-19 and its related impacts to our distribution operations, we assessed the acquired S&amp;D DSD business and determined to close the DSD distribution business in June 2020. As a result of exiting the business and loss of projected revenues that supported the acquired indefinite lived S&amp;D trademark, we fully impaired the associated acquired trademark and recorded a non-cash impairment charge of $5.2 million for the year ended December 31, 2020.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Finite-lived intangible assets are tested for impairment with the applicable asset group and evaluated for impairment along with property, plant and equipment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Impairment testing is required when events or changes in circumstances exist that indicate that an asset may not be recoverable. An asset is tested for recoverability by comparing the net carrying value of the asset to the entity-specific, undiscounted net cash flows to be generated from the use and eventual disposition of that asset group. If the carrying amount of an asset group is not recoverable, an impairment loss is recognized in the amount of the excess of the carrying value of the asset</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group over its fair value. Management determines fair value under ASC Topic 820 using the appropriate valuation technique of market, income or cost approach.</w:t>
      </w:r>
    </w:p>
    <w:p>
      <w:pPr>
        <w:spacing w:after="0" w:line="16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Estimating cash flows for the purposes of the recoverability test is subjective and requires significant judgement and are sensitive to changes in the underlying assumptions, such as estimates regarding revenue growth rates, cost structure, economic and market trends and cash flows expected to result in the disposition of the asset group. As a result, there can be no assurance that the estimates and ssumptions made for the purpose of the recoverability test prove to be an accurate prediction of future results. Accordingly, if our current estimates of undiscounted cash flows are not realized, it is possible that an impairment charge may be recorded in the future.</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Due to the negative economic impacts that COVID-19 had on our business, during the year ended December 31, 2020, we evaluated the recoverability of our asset groups. Cash flows used in the recoverability tests were based on the entity-specific, undiscounted cash flows expected to result from the use and eventual disposition of the asset group. The undiscounted cash flow model reflects our assumptions regarding revenue growth rates, including estimated implications of COVID-19 on our revenues, cost structure, economic and market trends, other expectations around our operating results, as well as estimated cash flows from the eventual disposition of the asset group. Key assumptions include our revenue and expense growth assumptions, capital expenditure assumptions necessary to obtain the projected cash flows, and the estimated cash flows from the eventual disposition of the asset group. As a result of our analysis, we concluded that our asset groups were recoverable; therefore, no impairment was recognized during the year ended December 31, 2020. During the years ended December 31, 2022 and 2021, there were no events or changes in circumstances indicating that the carrying amount of any of our asset groups were not recoverable from future undiscounted cash flows we expect each asset group to generate. Accordingly, no impairment loss was recognized.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tax laws. We utilize the asset and liability method in accounting for income taxes. Under this method, deferred tax assets and liabilities are determined based upon the difference between the values of the assets and liabilities as reflected in the financial statements and their related tax bases using enacted tax rates in effect for the year or years in which the differences are expected to be realized or settled. As changes in tax laws or rates are enacted, deferred tax assets and liabilities are adjusted through the provision for income taxes. The Company’s foreign subsidiaries file income tax returns and are subject to tax provisions in their respective foreign tax jurisdictions.</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not more likely than not that all or a portion of any deferred tax assets will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54"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Tax laws are complex and subject to different interpretation by the taxpayer and the relevant government taxing authorities. In the normal course of business, we are routinely subjected to examinations and audits from federal, state and local taxing authorities regarding tax positions taken by us and the determination of the amount of tax due. Challenges made by taxing authorities may result in adjustments to the amount of taxes due and may result in the imposition of penalties and interest.</w:t>
      </w:r>
    </w:p>
    <w:p>
      <w:pPr>
        <w:spacing w:after="0" w:line="3" w:lineRule="exact"/>
        <w:rPr>
          <w:sz w:val="20"/>
          <w:szCs w:val="20"/>
          <w:color w:val="auto"/>
        </w:rPr>
      </w:pP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If any such challenges are not resolved in our favor, they could have a material adverse effect on our financial condition, results of operations and liquidity.</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0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record business combinations using the acquisition method of accounting. All assets acquired and liabilities assumed are recorded at fair value as of the acquisition date. Any excess of the purchase price over the fair value of the net tangible and intangible assets acquired is recorded as goodwill.</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application of the acquisition method of accounting for business combinations requires management to make significant estimates and assumptions in determination of the fair value of assets acquired and liabilities assumed. The fair value of the acquired assets and liabilities are estimated using the income, market and/or cost valuation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w:t>
      </w:r>
    </w:p>
    <w:p>
      <w:pPr>
        <w:spacing w:after="0" w:line="154"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 xml:space="preserve">If actual results differ from the estimates and judgements used in these estimates, the amounts recorded in the consolidated financial statements may be exposed to potential impairment of the intangible assets and goodwill, as discussed in the </w:t>
      </w:r>
      <w:r>
        <w:rPr>
          <w:rFonts w:ascii="Times New Roman" w:cs="Times New Roman" w:eastAsia="Times New Roman" w:hAnsi="Times New Roman"/>
          <w:sz w:val="18"/>
          <w:szCs w:val="18"/>
          <w:i w:val="1"/>
          <w:iCs w:val="1"/>
          <w:color w:val="auto"/>
        </w:rPr>
        <w:t xml:space="preserve">Goodwill and Indefinite Lived Intangible Assets </w:t>
      </w:r>
      <w:r>
        <w:rPr>
          <w:rFonts w:ascii="Times New Roman" w:cs="Times New Roman" w:eastAsia="Times New Roman" w:hAnsi="Times New Roman"/>
          <w:sz w:val="18"/>
          <w:szCs w:val="18"/>
          <w:color w:val="auto"/>
        </w:rPr>
        <w:t>critical accounting estimate section above.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Inventories</w:t>
      </w:r>
    </w:p>
    <w:p>
      <w:pPr>
        <w:spacing w:after="0" w:line="18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Green coffee associated with our forward contracts is recorded at net realizable value, which approximates market price, within our SS&amp;T segment,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 of sales in our Consolidated Statements of Operations. At December 31, 2022, a 10% change in the price of coffee would have had an approximately $4.0 million impact on the value of our green coffee inventory.</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0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account for warrants assumed in connection with the Transaction (see Note 4 to our Consolidated Financial Statements)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43"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Company remeasures the fair value of the Westrock Public Warrants (as defined in Note 4 to our Consolidated Financial Statements) based on the quoted market price of the Westrock Public Warrants. The Westrock Private Warrants (as defined in Note 4 to our Consolidated Financial Statements) are valued a binomial lattice valuation model. The primary unobservable input utilized in determining the fair value of the Westrock Private Warrants is the expected volatility of the stock price, which is determined by use of an option pricing model. A 10% increase to the volatility input at December 31, 2022 would increase the fair value of the Private Warrants by approximately $0.1 million. For the year ended December 31, 2022, the Company recognized $29.7 million of losses related to the change in fair value of warrant liabilities.</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Common Units Underlying Options</w:t>
      </w:r>
    </w:p>
    <w:p>
      <w:pPr>
        <w:spacing w:after="0" w:line="20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Prior to the Conversion, options were granted to employees under the Westrock 2020 Unit Option Incentive Plan (the “2020 Option Plan”), whereby option holders had the right to purchase common units of Westrock. In connection with the Conversion, options granted under the 2020 Option Plan converted into options to purchase common stock of Westrock of substantially equal value, and the 2020 Option Plan was frozen.</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fair value of the Westrock common units underlying the stock options granted under the 2020 Option Plan had been determined by the Westrock board of directors, with input from management and corroboration from contemporaneous, independent third-party valuations. Given the absence of a public trading market for the Westrock common units when the options were granted under the 2020 Option Plan, and in accordance with the American Institute of Certified Public Accountants Accounting and Valuation Guide: Valuation of Privately Held Company Equity Securities Issued as Compensation (the “AICPA Practice Guide”), the Westrock board exercised reasonable judgement and considered a number of objective and subjective factors to determine the best estimate of the fair value of the Westrock common units at each grant date, including obtaining independent third-party valuations.</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Independent third-party valuations that we utilized to estimate the fair value of the Westrock common units underlying the unit options under the 2020 Option Plan included a combination of an income approach, based on the present value of estimated future cash flows, and a market approach based on market data of comparable businesses and acquisition multiples paid in recent transactions. The discounted cash flow model reflected our assumptions regarding revenue growth rates, cost structure, economic and market trends, and other expectations around the anticipated operating results of our business. We discounted the estimated cash flows for the entity using rates that represented a market participant’s weighted average cost of capital commensurate with the underlying business operations. The market approach developed an indication of fair value by calculating average market pricing multiples of revenues and EBITDA for selected peer publicly traded companies, as well as multiples for relevant transactions that have taken place. We evaluated the weighting applied to each valuation methodology in the determination of the concluded fair value.</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Westrock common units underlying the unit options granted under the 2020 Option Plan required considerable judgement and are sensitive to changes in underlying assumptions and factors. As a result, there can be no assurance that the estimates and assumptions made for the purposes of valuing the Westrock common units underlying the unit options when they were granted will prove to be accurate predictions of future results. Key assumptions included our expected revenue and expense growth rates,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most recent independent third-party valuation report obtained in support of the Westrock board of directors’ valuation determination was based on a February 1, 2022 valuation date (the “February Valuation”), which was used to determine the fair value of unit options granted on January 1, 2022 and February 1, 2022, the Company’s last grant of unit options under the 2020 Option Plan.</w:t>
      </w:r>
    </w:p>
    <w:p>
      <w:pPr>
        <w:spacing w:after="0" w:line="18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methodologies used in the February Valuation to determine the fair value of the unit options and the underlying Westrock common units, was consistent with the methodologies described above and was based upon information available as of that date. The concluded business enterprise value of the Company noted in the February Valuation was weighted 50% based on the income approach and 50% on the market comparable approach.</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in-line with our expectations. Westrock’s net sales for the year ended December 31, 2022 was approximately $867.9 million and was negatively affected by a decrease in roast and ground coffee products, driven in part by higher inflation impacting end-consumer demand. Westrock’s cost of sales for the year ended December 31, 2022 was approximately $715.1 million and was negatively impacted by an increase in green coffee, tea and liquid extracts costs, driven by higher single serve cup sales volumes and commodity price increases. Westrock is impacted by the negative effects of inflation on both its customer volume demand and manufacturing costs, including price increases in fuel, food, materials and labor. The negative impact of these inflationary pressures was felt most strongly during the second half of 2022. We attempt to mitigate the impacts of inflation wherever possible. Our mitigation strategies, including working with our vendors and suppliers to ensure that we have adequate access to raw materials to reliably provide our customers with the high-quality products they expect. In addition,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Failure to meet our financial targets may restrict our liquidity and capital resources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29, 2022, the Company entered into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$175.0 million Revolving Credit Facility and a $175.0 million Term Loan Facility. Proceeds from the Term Loan Facility were used for paying off existing indebtedness. On February 14, 2023, the Company entered into an Incremental Assumption Agreement and Amendment No. 1 (the “Amendment”) to its Credit Agreement, which establishes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94"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The Credit Agreement matures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76"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Rate”) or (ii) the base rate (determined by reference to the greatest of (i) the rate of interest last quoted by The Wall Street Journal in the U.S. as the prime rate in effect, (ii) the NYFRB Rate from time to time plus 0.50% and (iii) the Adjusted Term SOFR Rate for a one month interest period plus 1.00%, (the “Base Rate”)), in each case plus the Applicable Margin. The Applicable Margin ranges from 1.50% to 2.50% for Adjusted Term SOFR loans and from 0.50% to 1.50% for Base Rate loans, in each case depending on the total net leverage ratio. Commitment fees on the daily unused amount of commitments under the Revolving Credit Facility range from 0.20% to</w:t>
      </w:r>
    </w:p>
    <w:p>
      <w:pPr>
        <w:spacing w:after="0" w:line="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0.35% depending on the total net leverage ratio. At December 31, 2022, the Revolving Credit Facility was undrawn (other than the standby letters of credit outstanding described below) and the interest rate applicable to our Term Loan Facility was 5.7%.</w:t>
      </w:r>
    </w:p>
    <w:p>
      <w:pPr>
        <w:spacing w:after="0" w:line="18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interest rates under the Delayed Draw Term Loan Facility are the same as the interest rates with respect to the initial term loans under the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Annual Report on Form 10-K, no borrowings have been made under the Delayed Draw Term Loan Facility.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Term Loan Facility requires quarterly principal payments during the first three years of approximately $2.2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(1.25% of the original principal balance). Quarterly payments increase to approximately $3.3 million and $4.4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(1.875% and 2.5% of the original principal balance) during the fourth and fifth years, respectively.</w:t>
      </w:r>
    </w:p>
    <w:p>
      <w:pPr>
        <w:spacing w:after="0" w:line="20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Consolidated Balance Sheets and are being amortized ratably over the term of the Revolving Credit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had $2.6 million of standby letters of credit outstanding at December 31, 2022.</w:t>
      </w:r>
    </w:p>
    <w:p>
      <w:pPr>
        <w:spacing w:after="0" w:line="225"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Credit Agreement contains two financial covenants requiring maintenance of a total net leverage ratio not to exceed 4.50 to 1.00, with a stepdown to 4.00 to 1.00 on the 18-month anniversary of the closing date of the Credit Agreement (with an option to increase to 4.50 to 1.00 following certain permitted acquisitions), and an interest coverage ratio of at least 1.50 to 1.00 (the “Financial Covenants”). At December 31, 2022, and the date of this Annual Report on Form 10-K, the Company was in compliance with the Financial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Term Loan Facility</w:t>
      </w:r>
    </w:p>
    <w:p>
      <w:pPr>
        <w:spacing w:after="0" w:line="229"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On February 28, 2020, Westrock Beverage Solutions, LLC, as borrower, borrowed $240.0 million of term loans from various financial institutions pursuant to a loan and security agreement (the “Prior Term Loan Agreement”) (such term loans, the “Prior Term Loan Facility”). In connection with the Closing, all outstanding Prior Term Loan Facility balances were repaid, and the associated Prior Term Loan Agreement was terminated. The Company paid a $1.6 million early termination fee, and wrote off $4.0 million of unamortized deferred financing fees associated with the termination of the Prior Term Loan Facility, which are recorded within interest expense on the Consolidated Statement of Operations.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ABL Facility</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28, 2020, Westrock Beverage Solutions, LLC, as borrower, entered into a loan and security agreement with Bank of America as administrative agent (the “Prior ABL Credit Agreement”) that created an asset-based loan of $90.0 million (the “Prior ABL Facility”). In connection with the Closing, all outstanding Prior ABL Facility balances were repaid, and the associated Prior ABL Credit Agreement was terminated. Upon termination, we wrote off $0.3 million of the $1.3 million unamortized deferred financing fees associated with the Prior ABL Facility, which are recorded within interest expense on the Consolidated Statement of Operations. The remaining unamortized deferred financing fees were allocated to the new Revolving Credit Facility and will be amortized over the life of the Revolving Credit Facility. Outstanding letters of credit under the Prior ABL Facility were replaced by letters of credit under the Credit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Falcon maintains a working capital trade finance facility with multiple financial institutions, which prior to March 16, 2022, was agented by Brown Brothers Harriman (“BBH”), a related party of the Company through its equity interests in the Company, and was reported as short-term related party debt on the Consolidated Balance Sheets. On March 16, 2022, Falcon refinanced its working capital trade finance facility, and the facility was transferred to different lenders with the same terms as the previous facility. At the time of refinance, there was $49.3 million outstanding under the facility. The new facility is uncommitted and repayable on demand. Certain of Falcon’s assets with a net book amount of $39.8 million have been pledged as collateral against the facility as of December 31, 2022. On April 29, 2022, the facility size increased from $50 million to $55 million and subsequently, on June 16, 2022, the facility size increased to $62.5 million. On December 9, 2022, the facility size decreased from $62.5 million to $47.5 million and subsequently, on December 20, 2022, the facility was modified for various definitions, clauses and schedules within the facility agreement.</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December 31, 2022, there was $36.3 million outstanding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2022, and the date of these financial statements.</w:t>
      </w:r>
    </w:p>
    <w:p>
      <w:pPr>
        <w:spacing w:after="0" w:line="18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Interest is payable monthly at the U.S. Prime Rate plus 2.50%, subject to a minimum rate of 5.00%. The facility carries an agent fee of 0.25% of total available capital. Availability under the facility is subject to a borrowing base calculation.</w:t>
      </w:r>
    </w:p>
    <w:p>
      <w:pPr>
        <w:spacing w:after="0" w:line="16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21, 2023, the Company entered into a $70 million working capital trade finance facility with multiple financial institutions through its subsidiary, Falcon. The facility replaces Falcon’s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i) Term SOFR plus a margin of 4.00% plus a liquidity premium set by the lender at the time of borrowing or ii) the Base Rate (determined by reference to the greatest of i) the Prime Rate at such time, ii) ½ of</w:t>
      </w:r>
    </w:p>
    <w:p>
      <w:pPr>
        <w:spacing w:after="0" w:line="5"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1% in excess of the Federal Funds Effective Rate at such time, and iii) Term SOFR for a one-month tenor in effect at such time plus 1%.</w:t>
      </w:r>
    </w:p>
    <w:p>
      <w:pPr>
        <w:spacing w:after="0" w:line="181"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stock and mortgage-backed lending facilities with a local bank in Rwanda: a short-term trade finance facility with a balance of $6.6 million at December 31, 2022 and a long-term note payable with a balance of $1.8 million at December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Subordinated Related Party Debt</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On February 28, 2020, we issued $13.3 million of subordinated debt (the “Subordinated Notes”) to Wooster Capital, LLC (“Wooster”) and Jo Ellen Ford, related parties of the Company through their equity ownership and relation with Joe Ford, the chairman of our board of directors. The Subordinated Notes provided for maturity on the earlier of (i) six months after the Prior Term Loan Facility due in 2025 was paid in full or (ii) 10 years from the date of issuance (February 2030). Interest was payable quarterly at the end of each calendar quarter at a rate of 6% per annum.</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Substantially concurrently with the Closing and pursuant to the terms of their respective subscription agreements with the Company, Wooster and Jo Ellen Ford contributed their respective Subordinated Notes to the Company and in exchange for such contribution, the Company issued Common Shares, par value $0.01 per share, to Wooster and Jo Ellen Ford. The Company issued a total of 1,330,000 Common Shares in exchange for the contribution of the Subordinated Notes, which were subsequently extinguished.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Proceeds from the Transaction and the Term Loan Facility were used to repay outstanding borrowings under our Prior Term Loan Facility and Prior ABL Facility. In addition, we expect to use cash from operations and borrowings available under the Credit Agreement, as amended, to fund our near-term growth strategies, which include, (i) extending and enhancing product offerings through innovation, (ii) expanding our customer base, (iii) expanding geographically, (iv) funding accretive acquisitions, and (v) continuing to drive margin expansion. At December 31, 2022, we had no borrowings outstanding under our Revolving Credit Facility.</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 key component of our long-term growth strategy will be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We initially planned to complete the build-out in phases; however, the Company is accelerating capital spending that was originally slated for Phase II of the project into Phase I. The Company will now be adding a state-of-the-art extraction technology system, a multi-serve bottling line, a specialty canning line and Bag-in-a-Box packaging lines to its Phase I projects that previously included a standard extraction system and high-speed glass bottling and canning lines. The Company now expects to incur approximately $275.0 million of capital expenditures over the next three (3) years to complete the enhanced build-out of Phase I and Phase II.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We believe proceeds from the Transaction, available borrowings under our Revolving Credit Facility and Delayed Draw Down Term Loan Facility and more efficient use of our working capital will provide sufficient cash on-hand to complete the build-out. However, the Company will continuously evaluate its liquidity needs, and may seek to opportunistically access additional liquidity, including through either the debt or equity capital markets. If it is determined that we have insufficient liquidity to fund the Conway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Proceeds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2022, we had 19,372,916 outstanding Warrants to purchase 19,372,916 Common Shares,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Public Warrants under certain conditions, as described in their warrant agreement, are redeemable by the Company at a price of $0.01 per warrant or on a cashless basis. Our Private Placement Warrants are not redeemable so long as they are held by Riverview Sponsor or its permitted transferees (except as otherwise set forth herein). As such, it is possible that we may never generate any or only very limited cash proceeds from the exercise of our Warrants.</w:t>
      </w:r>
    </w:p>
    <w:p>
      <w:pPr>
        <w:spacing w:after="0" w:line="19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on Form 10-K,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80"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From December 31, 2022 through the date of this Annual Report on From 10-K, Westrock has received $2.6 million in cash proceeds from the exercise of 228,796 Public Warrants, resulting in the issuance of 228,796 Common Shares.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Redemptions of Series A Preferred Shares</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23,587,952 Series A Preferred Shares remain outstanding after February 26, 2028, we estimate an aggregate redemption payment of at least approximately $271.3 million. If Westrock was required by the holders to redeem a significant number of Series A Preferred Shares, Westrock may not have enough cash available (including through draws on its credit facility) for other purposes such as paying dividends on the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requires quarterly principal payments during the first three years of approximately $2.2 million (1.25% of the original principal).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spacing w:after="0" w:line="18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Future purchase obligations of $184.2 million as of December 31, 2022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future obligations to repurchase $14.6 million of inventory associated with repurchase agreements in which the Company’s SS&amp;T segment has sold inventory to a third party and from whom the Company’s Beverage Solution segment has an obligation to repurchase.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years ended December 31, 2022, 2021 and 2020 were as follows: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$ 56,582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$ 19,784</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$ 14,949</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We expect to invest to expand our extract and ready-to-drink product manufacturing capacity in Conway, Arkansas, for which we currently expect to spend approximately $275 million over the next 3 years. As of December 31, 2022, approximately $32.1 million has been spent towards our Conway facility.</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Annual Report on Form 10-K,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3, Summary of Significant Accounting Policies, to the consolidated financial statements included in Part II, Item</w:t>
      </w:r>
    </w:p>
    <w:p>
      <w:pPr>
        <w:spacing w:after="0" w:line="27" w:lineRule="exact"/>
        <w:rPr>
          <w:sz w:val="20"/>
          <w:szCs w:val="20"/>
          <w:color w:val="auto"/>
        </w:rPr>
      </w:pPr>
    </w:p>
    <w:p>
      <w:pPr>
        <w:ind w:left="60" w:right="379" w:hanging="10"/>
        <w:spacing w:after="0" w:line="260" w:lineRule="auto"/>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 of this Annual Report on Form 10-K for a discussion of certain recent accounting pronouncements.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Regarding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We are exposed to commodities price risk related to changes in the market price of green coffee. We have historically utilized, and expect to continue to utilize, various types of derivative instruments, including forward contracts, futures contracts, and option contracts to hedge our exposure to the market price variability of green coffee. For most, but not all, of our customers, increases in the cost of green coffee can be passed on to our customers in the form of higher prices. See Note 3, Summary of Significant Accounting Policies, and Note 14, Derivatives, to the consolidated financial statements included in Part II, Item 8. Financial Statements and Supplementary Data of this Annual Report on Form 10-K for further discussion of our derivative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volatility with respect to the variable rate facilities under the Credit Agreement, entered into on August 29, 2022. We estimate that the potential impact to our interest rate expense associated with the variable rate Term Loan Facility, assuming a hypothetical 10% change in interest rates as of December 31, 2022, would be an annualized impact of approximately $0.8 million on the Company’s results of operations for the year ended December 31, 2022.</w:t>
      </w:r>
    </w:p>
    <w:p>
      <w:pPr>
        <w:spacing w:after="0" w:line="183"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An increase in interest rates could impact our ability to secure financing to fund growth initiatives, such as growth capital expenditures and acquisitions. In addition, rising interest rates could also limit our ability to refinance our existing debt obligations as they come due or result in us paying higher interest rates upon refinancing our existing debt obligations.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been, and continues to be, impacted by negative effects of inflation on both our customers and our costs, including materials and labor costs. We attempt to mitigate the impacts of inflation wherever possible. Our mitigation strategies include working with our vendors and suppliers to ensure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 At this time, it is too early to determine what impact these inflationary pressures will have on our long-term growth strategies, as there is uncertainty in how long these risks may persist, and to what level we will be successful in passing these increased costs to our customers.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Associated with the Russia/Ukraine Conflict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do not have any customers or supply chains that are directly impacted by the Russia/Ukraine conflict.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5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60" w:type="dxa"/>
            <w:vAlign w:val="bottom"/>
          </w:tcPr>
          <w:p>
            <w:pPr>
              <w:spacing w:after="0"/>
              <w:rPr>
                <w:sz w:val="20"/>
                <w:szCs w:val="20"/>
                <w:color w:val="auto"/>
              </w:rPr>
            </w:pPr>
          </w:p>
        </w:tc>
      </w:tr>
      <w:tr>
        <w:trPr>
          <w:trHeight w:val="626"/>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c>
          <w:tcPr>
            <w:tcW w:w="36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gridSpan w:val="21"/>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60" w:type="dxa"/>
            <w:vAlign w:val="bottom"/>
          </w:tcPr>
          <w:p>
            <w:pPr>
              <w:spacing w:after="0"/>
              <w:rPr>
                <w:sz w:val="20"/>
                <w:szCs w:val="20"/>
                <w:color w:val="auto"/>
              </w:rPr>
            </w:pPr>
          </w:p>
        </w:tc>
      </w:tr>
      <w:tr>
        <w:trPr>
          <w:trHeight w:val="391"/>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0"/>
        </w:trPr>
        <w:tc>
          <w:tcPr>
            <w:tcW w:w="85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 xml:space="preserve">Report of PricewaterhouseCoopers LLP, Independent Registered Public Accounting Firm </w:t>
            </w:r>
            <w:r>
              <w:rPr>
                <w:rFonts w:ascii="Times New Roman" w:cs="Times New Roman" w:eastAsia="Times New Roman" w:hAnsi="Times New Roman"/>
                <w:sz w:val="18"/>
                <w:szCs w:val="18"/>
                <w:color w:val="000000"/>
              </w:rPr>
              <w:t>(Auditor Firm 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8"/>
        </w:trPr>
        <w:tc>
          <w:tcPr>
            <w:tcW w:w="120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4"/>
        </w:trPr>
        <w:tc>
          <w:tcPr>
            <w:tcW w:w="546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 December 31, 2022 and December 31, 2021</w:t>
            </w:r>
          </w:p>
        </w:tc>
        <w:tc>
          <w:tcPr>
            <w:tcW w:w="3080" w:type="dxa"/>
            <w:vAlign w:val="bottom"/>
            <w:gridSpan w:val="6"/>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65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 Years ended December 31, 2022, 2021 and 2020</w:t>
            </w:r>
          </w:p>
        </w:tc>
        <w:tc>
          <w:tcPr>
            <w:tcW w:w="20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72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 Years ended December 31, 2022, 2021 and 2020</w:t>
            </w:r>
          </w:p>
        </w:tc>
        <w:tc>
          <w:tcPr>
            <w:tcW w:w="13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9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(Defecit) - Years ended December 31, 2022, 2021 and 2020</w:t>
            </w:r>
          </w:p>
        </w:tc>
        <w:tc>
          <w:tcPr>
            <w:tcW w:w="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65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 Years ended December 31, 2022, 2021 and 2020</w:t>
            </w:r>
          </w:p>
        </w:tc>
        <w:tc>
          <w:tcPr>
            <w:tcW w:w="20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18"/>
        </w:trPr>
        <w:tc>
          <w:tcPr>
            <w:tcW w:w="8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6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358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9"/>
              </w:rPr>
              <w:t>Note 1. Organization and Description of Business</w:t>
            </w:r>
          </w:p>
        </w:tc>
        <w:tc>
          <w:tcPr>
            <w:tcW w:w="4820" w:type="dxa"/>
            <w:vAlign w:val="bottom"/>
            <w:gridSpan w:val="9"/>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40" w:type="dxa"/>
            <w:vAlign w:val="bottom"/>
          </w:tcPr>
          <w:p>
            <w:pPr>
              <w:spacing w:after="0"/>
              <w:rPr>
                <w:sz w:val="17"/>
                <w:szCs w:val="17"/>
                <w:color w:val="auto"/>
              </w:rPr>
            </w:pPr>
          </w:p>
        </w:tc>
        <w:tc>
          <w:tcPr>
            <w:tcW w:w="3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 Basis of Presentation and Consolidation</w:t>
            </w:r>
          </w:p>
        </w:tc>
        <w:tc>
          <w:tcPr>
            <w:tcW w:w="49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3. Summary of Significant Accounting Policies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Note 4. De-SPAC Merger Transaction</w:t>
            </w:r>
          </w:p>
        </w:tc>
        <w:tc>
          <w:tcPr>
            <w:tcW w:w="1060" w:type="dxa"/>
            <w:vAlign w:val="bottom"/>
            <w:tcBorders>
              <w:top w:val="single" w:sz="8" w:color="0000EE"/>
            </w:tcBorders>
            <w:gridSpan w:val="5"/>
          </w:tcPr>
          <w:p>
            <w:pPr>
              <w:spacing w:after="0"/>
              <w:rPr>
                <w:sz w:val="17"/>
                <w:szCs w:val="17"/>
                <w:color w:val="auto"/>
              </w:rPr>
            </w:pPr>
          </w:p>
        </w:tc>
        <w:tc>
          <w:tcPr>
            <w:tcW w:w="4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5. Revenue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6. Acquisitions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40" w:type="dxa"/>
            <w:vAlign w:val="bottom"/>
          </w:tcPr>
          <w:p>
            <w:pPr>
              <w:spacing w:after="0"/>
              <w:rPr>
                <w:sz w:val="17"/>
                <w:szCs w:val="17"/>
                <w:color w:val="auto"/>
              </w:rPr>
            </w:pPr>
          </w:p>
        </w:tc>
        <w:tc>
          <w:tcPr>
            <w:tcW w:w="1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 7. Inventories</w:t>
            </w:r>
          </w:p>
        </w:tc>
        <w:tc>
          <w:tcPr>
            <w:tcW w:w="692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1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 8. Property, Plant and Equipment, Net</w:t>
            </w:r>
          </w:p>
        </w:tc>
        <w:tc>
          <w:tcPr>
            <w:tcW w:w="52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9. Leases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10. Goodwill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11. Intangible Assets, Net</w:t>
            </w:r>
          </w:p>
        </w:tc>
        <w:tc>
          <w:tcPr>
            <w:tcW w:w="614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Note 12. Debt</w:t>
            </w:r>
          </w:p>
        </w:tc>
        <w:tc>
          <w:tcPr>
            <w:tcW w:w="734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4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13. Series A Preferred Shares</w:t>
            </w:r>
          </w:p>
        </w:tc>
        <w:tc>
          <w:tcPr>
            <w:tcW w:w="58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Note 14. Derivatives</w:t>
            </w:r>
          </w:p>
        </w:tc>
        <w:tc>
          <w:tcPr>
            <w:tcW w:w="690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15. Fair Value Measurements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16. Equity-Based Compensation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17. Accumulated Other Comprehensive Income (Loss</w:t>
            </w:r>
            <w:r>
              <w:rPr>
                <w:rFonts w:ascii="Times New Roman" w:cs="Times New Roman" w:eastAsia="Times New Roman" w:hAnsi="Times New Roman"/>
                <w:sz w:val="18"/>
                <w:szCs w:val="18"/>
                <w:color w:val="000000"/>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4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 18. Income Taxes</w:t>
            </w:r>
          </w:p>
        </w:tc>
        <w:tc>
          <w:tcPr>
            <w:tcW w:w="41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19. Earnings Per Share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14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20. Segment Information</w:t>
            </w:r>
          </w:p>
        </w:tc>
        <w:tc>
          <w:tcPr>
            <w:tcW w:w="620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21. Commitments and Contingencies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22. Related Party Transactions</w:t>
            </w:r>
          </w:p>
        </w:tc>
        <w:tc>
          <w:tcPr>
            <w:tcW w:w="460" w:type="dxa"/>
            <w:vAlign w:val="bottom"/>
            <w:tcBorders>
              <w:top w:val="single" w:sz="8" w:color="0000EE"/>
            </w:tcBorders>
            <w:gridSpan w:val="3"/>
          </w:tcPr>
          <w:p>
            <w:pPr>
              <w:spacing w:after="0"/>
              <w:rPr>
                <w:sz w:val="17"/>
                <w:szCs w:val="17"/>
                <w:color w:val="auto"/>
              </w:rPr>
            </w:pPr>
          </w:p>
        </w:tc>
        <w:tc>
          <w:tcPr>
            <w:tcW w:w="53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8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 23. Subsequent Events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left="60" w:right="3179"/>
        <w:spacing w:after="0" w:line="473" w:lineRule="auto"/>
        <w:rPr>
          <w:sz w:val="20"/>
          <w:szCs w:val="20"/>
          <w:color w:val="auto"/>
        </w:rPr>
      </w:pPr>
      <w:r>
        <w:rPr>
          <w:rFonts w:ascii="Georgia" w:cs="Georgia" w:eastAsia="Georgia" w:hAnsi="Georgia"/>
          <w:sz w:val="18"/>
          <w:szCs w:val="18"/>
          <w:color w:val="auto"/>
        </w:rPr>
        <w:t xml:space="preserve">To the Board of Directors and Shareholders of Westrock Coffee Company </w:t>
      </w:r>
      <w:r>
        <w:rPr>
          <w:rFonts w:ascii="Georgia" w:cs="Georgia" w:eastAsia="Georgia" w:hAnsi="Georgia"/>
          <w:sz w:val="18"/>
          <w:szCs w:val="18"/>
          <w:b w:val="1"/>
          <w:bCs w:val="1"/>
          <w:i w:val="1"/>
          <w:iCs w:val="1"/>
          <w:color w:val="auto"/>
        </w:rPr>
        <w:t>Opinion on the Financial Statements</w:t>
      </w:r>
    </w:p>
    <w:p>
      <w:pPr>
        <w:spacing w:after="0" w:line="4" w:lineRule="exact"/>
        <w:rPr>
          <w:sz w:val="20"/>
          <w:szCs w:val="20"/>
          <w:color w:val="auto"/>
        </w:rPr>
      </w:pPr>
    </w:p>
    <w:p>
      <w:pPr>
        <w:ind w:left="60" w:right="19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Westrock Coffee Company and its subsidiaries (the “Company”) as of December 31, 2022 and 2021, and the related consolidated statements of operations, of comprehensive loss, of shareholders’ equity (deficit) and of cash flows for each of the three years in the period ended December 31, 2022, including the related notes and financial statement schedule listed in the index appearing under Item 15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i w:val="1"/>
          <w:iCs w:val="1"/>
          <w:color w:val="auto"/>
        </w:rPr>
        <w:t>Changes in Accounting Principles</w:t>
      </w:r>
    </w:p>
    <w:p>
      <w:pPr>
        <w:spacing w:after="0" w:line="161" w:lineRule="exact"/>
        <w:rPr>
          <w:sz w:val="20"/>
          <w:szCs w:val="20"/>
          <w:color w:val="auto"/>
        </w:rPr>
      </w:pPr>
    </w:p>
    <w:p>
      <w:pPr>
        <w:ind w:left="60" w:right="279"/>
        <w:spacing w:after="0" w:line="237" w:lineRule="auto"/>
        <w:rPr>
          <w:sz w:val="20"/>
          <w:szCs w:val="20"/>
          <w:color w:val="auto"/>
        </w:rPr>
      </w:pPr>
      <w:r>
        <w:rPr>
          <w:rFonts w:ascii="Georgia" w:cs="Georgia" w:eastAsia="Georgia" w:hAnsi="Georgia"/>
          <w:sz w:val="18"/>
          <w:szCs w:val="18"/>
          <w:color w:val="auto"/>
        </w:rPr>
        <w:t>As discussed in Note 3 to the consolidated financial statements, the Company changed the manner in which it accounts for leases in 2022 and the manner in which it accounts for goodwill in 2020.</w:t>
      </w:r>
    </w:p>
    <w:p>
      <w:pPr>
        <w:spacing w:after="0" w:line="202"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left="60" w:right="179"/>
        <w:spacing w:after="0" w:line="257" w:lineRule="auto"/>
        <w:rPr>
          <w:sz w:val="20"/>
          <w:szCs w:val="20"/>
          <w:color w:val="auto"/>
        </w:rPr>
      </w:pPr>
      <w:r>
        <w:rPr>
          <w:rFonts w:ascii="Georgia" w:cs="Georgia" w:eastAsia="Georgia" w:hAnsi="Georgia"/>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/s/ PricewaterhouseCoopers LLP</w:t>
      </w:r>
    </w:p>
    <w:p>
      <w:pPr>
        <w:ind w:left="60"/>
        <w:spacing w:after="0" w:line="237" w:lineRule="auto"/>
        <w:rPr>
          <w:sz w:val="20"/>
          <w:szCs w:val="20"/>
          <w:color w:val="auto"/>
        </w:rPr>
      </w:pPr>
      <w:r>
        <w:rPr>
          <w:rFonts w:ascii="Georgia" w:cs="Georgia" w:eastAsia="Georgia" w:hAnsi="Georgia"/>
          <w:sz w:val="18"/>
          <w:szCs w:val="18"/>
          <w:color w:val="auto"/>
        </w:rPr>
        <w:t>Little Rock, Arkansas</w:t>
      </w:r>
    </w:p>
    <w:p>
      <w:pPr>
        <w:ind w:left="60"/>
        <w:spacing w:after="0"/>
        <w:rPr>
          <w:sz w:val="20"/>
          <w:szCs w:val="20"/>
          <w:color w:val="auto"/>
        </w:rPr>
      </w:pPr>
      <w:r>
        <w:rPr>
          <w:rFonts w:ascii="Georgia" w:cs="Georgia" w:eastAsia="Georgia" w:hAnsi="Georgia"/>
          <w:sz w:val="18"/>
          <w:szCs w:val="18"/>
          <w:color w:val="auto"/>
        </w:rPr>
        <w:t>March 21, 2023</w:t>
      </w:r>
    </w:p>
    <w:p>
      <w:pPr>
        <w:spacing w:after="0" w:line="20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16,838</w:t>
            </w:r>
          </w:p>
        </w:tc>
        <w:tc>
          <w:tcPr>
            <w:tcW w:w="56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$3,023 and $3,749, respectively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101,639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145,836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9,166</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298,099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238,006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185,206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113,999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130,886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18,023</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w:t>
            </w: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746,213</w:t>
            </w:r>
          </w:p>
        </w:tc>
        <w:tc>
          <w:tcPr>
            <w:tcW w:w="200" w:type="dxa"/>
            <w:vAlign w:val="bottom"/>
          </w:tcPr>
          <w:p>
            <w:pPr>
              <w:spacing w:after="0"/>
              <w:rPr>
                <w:sz w:val="15"/>
                <w:szCs w:val="15"/>
                <w:color w:val="auto"/>
              </w:rPr>
            </w:pPr>
          </w:p>
        </w:tc>
        <w:tc>
          <w:tcPr>
            <w:tcW w:w="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593,020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610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LIABILITIES, CONVERTIBLE PREFERRED SHARES, REDEEMABLE UNITS,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SHAREHOLDERS' EQUITY (DEFICIT)</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5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11,504</w:t>
            </w:r>
          </w:p>
        </w:tc>
        <w:tc>
          <w:tcPr>
            <w:tcW w:w="5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Short-term related party debt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Derivative liabilities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37,459</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216,135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168,240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Long-term debt, net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162,502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Subordinated related party debt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Warrant liabilities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459,548</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487,147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21)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23,588 shares issued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outstanding, $11.50 liquidation value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274,936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A Redeemable Common Equivalent Preferred Units: $0.00 par value, 222,150 units authorized, no</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units and 222,150 units issued and outstanding at December 31, 2022 and December 31, 2021, respectively</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B Redeemable Common Equivalent Preferred Units: $0.00 par value, 17,000 units authorized, no</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units and 17,000 units issued and outstanding at December 31, 2022 and December 31, 2021, respectively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2"/>
                <w:szCs w:val="12"/>
                <w:b w:val="1"/>
                <w:bCs w:val="1"/>
                <w:i w:val="1"/>
                <w:iCs w:val="1"/>
                <w:color w:val="auto"/>
              </w:rPr>
              <w:t>Shareholders' Equity (Deficit)</w:t>
            </w:r>
            <w:r>
              <w:rPr>
                <w:rFonts w:ascii="Times New Roman" w:cs="Times New Roman" w:eastAsia="Times New Roman" w:hAnsi="Times New Roman"/>
                <w:sz w:val="17"/>
                <w:szCs w:val="17"/>
                <w:b w:val="1"/>
                <w:bCs w:val="1"/>
                <w:i w:val="1"/>
                <w:iCs w:val="1"/>
                <w:color w:val="auto"/>
                <w:vertAlign w:val="superscript"/>
              </w:rPr>
              <w:t>(1)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75,020 shares issued and outstanding at</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December 31, 2022; $0.00 par value, 39,389 shares authorized, 34,523 shares issued and outstanding at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December 31, 2021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342,664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(328,042)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 (deficit) attributable to Westrock Coffee Company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9,269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(178,734)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Noncontrolling interest</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(175,998)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Redeemable Units and Shareholders' Equity (Deficit)</w:t>
            </w:r>
          </w:p>
        </w:tc>
        <w:tc>
          <w:tcPr>
            <w:tcW w:w="5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746,213</w:t>
            </w:r>
          </w:p>
        </w:tc>
        <w:tc>
          <w:tcPr>
            <w:tcW w:w="56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593,020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3"/>
                <w:szCs w:val="13"/>
                <w:color w:val="auto"/>
              </w:rPr>
              <w:t>Retroactively adjusted for de-SPAC merger transaction as described in Note 4.</w:t>
            </w: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867,872</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698,144</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550,846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715,107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552,721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443,644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152,765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145,423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129,985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128,506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Acquisition, restructuring and integration expense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charges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144,089</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137,584</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227,836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8,676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7,839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(120,634)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(55,350)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(24,676)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(146,410)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(3,368)</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6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14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(21,308)</w:t>
            </w:r>
          </w:p>
        </w:tc>
        <w:tc>
          <w:tcPr>
            <w:tcW w:w="14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(128,865)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(loss) income attributable to non-controlling interest</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shareholders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(55,185)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(21,947)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(129,171)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convertible preferred stock</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(77,633)</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(46,155)</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(147,684)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Loss per common share</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Weighted-average number of shares outstanding</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48,444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34,472</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48,444</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34,472</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9"/>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(Thousands)</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42"/>
        </w:trPr>
        <w:tc>
          <w:tcPr>
            <w:tcW w:w="4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(21,308)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(128,865)</w:t>
            </w:r>
          </w:p>
        </w:tc>
      </w:tr>
      <w:tr>
        <w:trPr>
          <w:trHeight w:val="148"/>
        </w:trPr>
        <w:tc>
          <w:tcPr>
            <w:tcW w:w="49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(loss) gain on derivative instruments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3,581</w:t>
            </w:r>
          </w:p>
        </w:tc>
      </w:tr>
      <w:tr>
        <w:trPr>
          <w:trHeight w:val="148"/>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42"/>
        </w:trPr>
        <w:tc>
          <w:tcPr>
            <w:tcW w:w="490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(18,121)</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8,198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3,820</w:t>
            </w: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Comprehensive loss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(73,582)</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(13,110)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(125,045)</w:t>
            </w:r>
          </w:p>
        </w:tc>
      </w:tr>
      <w:tr>
        <w:trPr>
          <w:trHeight w:val="148"/>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shareholders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(73,306)</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(13,749)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(125,351)</w:t>
            </w:r>
          </w:p>
        </w:tc>
      </w:tr>
      <w:tr>
        <w:trPr>
          <w:trHeight w:val="148"/>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Accretion of convertible preferred stock</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(18,513)</w:t>
            </w:r>
          </w:p>
        </w:tc>
      </w:tr>
      <w:tr>
        <w:trPr>
          <w:trHeight w:val="142"/>
        </w:trPr>
        <w:tc>
          <w:tcPr>
            <w:tcW w:w="49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(95,754)</w:t>
            </w:r>
          </w:p>
        </w:tc>
        <w:tc>
          <w:tcPr>
            <w:tcW w:w="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(37,957)</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(143,864)</w:t>
            </w: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r>
        <w:rPr>
          <w:rFonts w:ascii="Times New Roman" w:cs="Times New Roman" w:eastAsia="Times New Roman" w:hAnsi="Times New Roman"/>
          <w:sz w:val="26"/>
          <w:szCs w:val="26"/>
          <w:b w:val="1"/>
          <w:bCs w:val="1"/>
          <w:color w:val="auto"/>
          <w:vertAlign w:val="superscript"/>
        </w:rPr>
        <w:t>(1)</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Non-Controlling</w:t>
            </w:r>
          </w:p>
        </w:tc>
        <w:tc>
          <w:tcPr>
            <w:tcW w:w="1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Total Shareholders'</w:t>
            </w:r>
          </w:p>
        </w:tc>
        <w:tc>
          <w:tcPr>
            <w:tcW w:w="0" w:type="dxa"/>
            <w:vAlign w:val="bottom"/>
          </w:tcPr>
          <w:p>
            <w:pPr>
              <w:spacing w:after="0"/>
              <w:rPr>
                <w:sz w:val="1"/>
                <w:szCs w:val="1"/>
                <w:color w:val="auto"/>
              </w:rPr>
            </w:pPr>
          </w:p>
        </w:tc>
      </w:tr>
      <w:tr>
        <w:trPr>
          <w:trHeight w:val="129"/>
        </w:trPr>
        <w:tc>
          <w:tcPr>
            <w:tcW w:w="21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rPr>
              <w:t>(Thousands)</w:t>
            </w:r>
          </w:p>
        </w:tc>
        <w:tc>
          <w:tcPr>
            <w:tcW w:w="6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34,202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58,017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(64,512)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1,791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Change in accounting principle</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6,626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(129,171)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(18,513)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tcBorders>
              <w:bottom w:val="single" w:sz="8" w:color="CCEEFF"/>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34,202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59,570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(205,570)</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(139,741)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(205,570)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CCEEFF"/>
            </w:tcBorders>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60" w:type="dxa"/>
            <w:vAlign w:val="bottom"/>
            <w:tcBorders>
              <w:bottom w:val="single" w:sz="8" w:color="CCEEFF"/>
            </w:tcBorders>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34,523</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60,628</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(251,725)</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12,018</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2,736</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(DEFICIT)(1)(continued)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Shareholders'</w:t>
            </w:r>
          </w:p>
        </w:tc>
        <w:tc>
          <w:tcPr>
            <w:tcW w:w="0" w:type="dxa"/>
            <w:vAlign w:val="bottom"/>
          </w:tcPr>
          <w:p>
            <w:pPr>
              <w:spacing w:after="0"/>
              <w:rPr>
                <w:sz w:val="1"/>
                <w:szCs w:val="1"/>
                <w:color w:val="auto"/>
              </w:rPr>
            </w:pPr>
          </w:p>
        </w:tc>
      </w:tr>
      <w:tr>
        <w:trPr>
          <w:trHeight w:val="128"/>
        </w:trPr>
        <w:tc>
          <w:tcPr>
            <w:tcW w:w="2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(Thousands)</w:t>
            </w:r>
          </w:p>
        </w:tc>
        <w:tc>
          <w:tcPr>
            <w:tcW w:w="82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9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34,523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60,628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(251,725)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(55,185)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upon</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closing of de-SPAC merger</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transaction, net of issuance costs, net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$3,178 of taxes (see Note 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PIPE financing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205,694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debt to equity (see Note</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Common Equivalent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Units (see Note 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Kohana acquisition (see Note 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Common Equivalent Preferred Unit</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($0.02 per unit)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(4,380)</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Loss on extinguishment of Common</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Equivalent Preferred units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Accretion of convertible preferred</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(18,121)</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(13,882)</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342,664</w:t>
            </w:r>
          </w:p>
        </w:tc>
        <w:tc>
          <w:tcPr>
            <w:tcW w:w="120" w:type="dxa"/>
            <w:vAlign w:val="bottom"/>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(328,042)</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(6,103)</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(55,461)</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(21,308)</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Paid-in-kind interest added to debt principal</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 write-offs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Mark-to-market adjustments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Deferred income tax (benefit)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Derivative assets and liabilities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Prepaid expense and other assets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3,165</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(56,628)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2,877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(13,450)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(74,169)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(22,647)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(411,822)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debt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(438,571)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(111,313)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debt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119,740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352,968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related party debt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Debt extinguishment costs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common equity issuance costs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 of preferred equity issuance costs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payments on capital leases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proceeds from repurchase agreements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 of taxes for net share settlement of equity awards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the issuance of common equivalent preferred units</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134,676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23,839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442,579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2"/>
        </w:trPr>
        <w:tc>
          <w:tcPr>
            <w:tcW w:w="59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22,870</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18,652</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26,405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22,870</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18,652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8,811</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3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Exchange of Redeemable Common Equivalent Preferred Units for Series A Convertible Preferred Shares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of Redeemable Common Equivalent Preferred Units for common 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Related party debt exchanged for common shares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Acquisition of Kohana through issuance of 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on extinguishment of Common Equivalent Preferred Units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for interest</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30,448</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28,496</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 We manage our business in two operating segments.</w:t>
      </w:r>
    </w:p>
    <w:p>
      <w:pPr>
        <w:spacing w:after="0" w:line="18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operates eight manufacturing facilities, three of which are located in Concord, North Carolina, two in North Little Rock, Arkansas, one in Richmond, California, one in Kigali, Rwanda, and one in Johor Bahru, Malaysia. The Company is currently completing the build out of its Conway, Arkansas facility, which is expected to begin commercial production in 2024.</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August 26, 2022,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Westrock (such merger, the “SPAC Merger”) and immediately following the consummation of the SPAC Merger, Riverview merged with and into Merger Sub II, with Merger Sub II surviving the merger as a direct wholly owned subsidiary of Westrock (the “LLC Merger”, and together with the SPAC Merger, the “Mergers”). See Note 4 for additional disclosures related to the Transaction</w:t>
      </w:r>
      <w:r>
        <w:rPr>
          <w:rFonts w:ascii="Times New Roman" w:cs="Times New Roman" w:eastAsia="Times New Roman" w:hAnsi="Times New Roman"/>
          <w:sz w:val="15"/>
          <w:szCs w:val="15"/>
          <w:color w:val="auto"/>
        </w:rPr>
        <w: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activities of the Company and its wholly owned and/or controlled subsidiaries. All intercompany balances and transactions have been eliminated.</w:t>
      </w:r>
    </w:p>
    <w:p>
      <w:pPr>
        <w:spacing w:after="0" w:line="162"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an 85% ownership interest in Falcon Coffees Limited, which operates our trading business and is reported within our Sustainable Sourcing &amp; Traceability segment. Equity interests not owned by us are reflected as non-controlling interests. In the Consolidated Statements of Operations, we allocate net income (loss) attributable to non-controlling interest to arrive at net income (loss) attributable to common shareholders based on their proportionate share.</w:t>
      </w:r>
    </w:p>
    <w:p>
      <w:pPr>
        <w:spacing w:after="0" w:line="164"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using the U.S. dollar as the reporting currency.</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Unit Conversion</w:t>
      </w:r>
    </w:p>
    <w:p>
      <w:pPr>
        <w:spacing w:after="0" w:line="22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In connection with the Transaction and pursuant to the Transaction Agreement, (a) each issued and outstanding common unit of the Converting Company (“Common Units”) was automatically converted into 0.1049203474320 shares of common stock, par value $0.01 per share, of the Converted Company (each such share, a “Common Share”), (b) each issued and outstanding common equivalent preferred unit of the Converting Company (the “Common Equivalent Preferred Units”) for which the holder had not elected to convert such unit into shares of Series A convertible preferred stock, par value $0.01 per share, of the Converted Company (the “Series A Preferred Shares”), automatically converted into</w:t>
      </w:r>
    </w:p>
    <w:p>
      <w:pPr>
        <w:spacing w:after="0" w:line="5"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0.1086138208640 Common Shares if such Common Equivalent Preferred Unit was designated a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Series A Preferred Shares, converted into</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0.1086138208740 Series A Preferred Shares if such Common Equivalent Preferred Unit was designated a Series A Common Equivalent Preferred Unit or 0.0919280171940 Series A Preferred Shares if such Common Equivalent Preferred Unit was designated a Series B Common Equivalent Preferred Unit.</w:t>
      </w:r>
    </w:p>
    <w:p>
      <w:pPr>
        <w:spacing w:after="0" w:line="18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For the periods prior to the Closing, the number of outstanding units, weighted average number of outstanding units, loss per common unit, equity-based compensation and other financial amounts previously expressed on the basis of Common Units have been retroactively adjusted on the basis of Common Shares reflecting the common unit conversion ratio, as described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measurements, fair values of forward purchase and sales contracts, green coffee associated with forward contracts, warrant liabilities, share-based compensation, contingencies, and income taxes, among others. We base our estimates on historical experience, current and expected macroeconomic conditions such as inflation, consumer spending trends and interest rates, and on various other assumptions that we believe to be reasonable, the results of which form the basis for making judgements about the carrying values of assets and liabilities. Actual results may differ from the estimates and assumptions used in preparing the accompanying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In accordance with Accounting Standards Update (“ASU”) 2014-15, Disclosure of Uncertainties about an Entity’s Ability to Continue as a Going Concern (Subtopic 205-40), the Company has the responsibility to evaluate whether conditions and/or events raise substantial doubt about its ability to meet its obligations as they become due within one year after the date that the financial statements are available to be issued. The Company is dependent on borrowings under its Credit Agreement (Note 12) and cash generated from operations to finance its operations, service its debt requirements, maintain compliance with its covenants, and to fund capital requirements. The Company believes that its projected cash flow from operations and available borrowings under our Credit Agreement will be sufficient to fund operations for at least the next twelve months. During the year ended December 31, 2022, we were impacted by the negative effects of inflation on both our customer volume demand and manufacturing costs, including price increases in fuel, food, materials and labor. We attempt to mitigate the impacts of inflation wherever possible. Our mitigation strategies include working with our vendors and suppliers to ensure that we have adequate access to raw materials. In addition,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If we are unable to meet our financial targets and generate sufficient cash flows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operations, it may restrict our liquidity and capital resources and our ability to maintain compliance with our financial covenants. As management’s ability to amend its financial covenants cannot be assured, management has committed to delay growth capital expenditures and/or reduce operating expenses, as necessary, in order to have adequate liquidity and to remain in compliance with its debt covenants. The accompanying Consolidated Financial Statements have been prepared assuming that the Company will continue as a going concern, which contemplates the realization of assets and satisfaction of liabilities in the ordinary course of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In 2021, the Company elected to change its accounting principle for goodwill by unwinding its previous election of applying the private company alternative accounting for the subsequent measurement of goodwill and apply Accounting Standards Codification (“ASC”) 350-20,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private company alternative permits companies to amortize goodwill and to test goodwill for an impairment at an enterprise level. The Company applied ASC 350 retrospectively beginning January 1, 2020, which resulted in the Company unwinding the accumulated amortization of goodwill recognized through January 1, 2020 of $6.6 million. Accordingly, this change resulted in an increase in goodwill and a decrease in accumulated deficit of $6.6 million as of January 1, 2020. The impact to the Consolidated Statement of Operations for the year ended December 31, 2020 was the reversal of $14.6 million of</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Goodwill amortization previously recognized in selling, general and administrative expenses and the recognition of a goodwill impairment charge of $76.9 million, the net of which resulted in a $62.2 million and $63.2 million increase to loss before income taxes and net loss,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not exceeding three months at the time of purchase. The fair values of our cash and cash equivalents approximate the amounts shown on our Consolidated Balance Sheets due to their short-term nature.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Restricted cash represents cash maintained in margin accounts in accordance with futures market and broker regulations. In accordance with the Company’s accounting policy, the Company does not adjust the value of its derivative assets or liabilities by the amount of cash held in margin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cash and cash equivalents and restricted cash is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w:t>
            </w: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Activity in the allowance for credit losses was as follows:</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3" w:lineRule="exact"/>
        <w:rPr>
          <w:sz w:val="20"/>
          <w:szCs w:val="20"/>
          <w:color w:val="auto"/>
        </w:rPr>
      </w:pPr>
    </w:p>
    <w:p>
      <w:pPr>
        <w:ind w:left="60" w:right="1480"/>
        <w:spacing w:after="0" w:line="255" w:lineRule="auto"/>
        <w:rPr>
          <w:sz w:val="20"/>
          <w:szCs w:val="20"/>
          <w:color w:val="auto"/>
        </w:rPr>
      </w:pPr>
      <w:r>
        <w:rPr>
          <w:rFonts w:ascii="Times New Roman" w:cs="Times New Roman" w:eastAsia="Times New Roman" w:hAnsi="Times New Roman"/>
          <w:sz w:val="18"/>
          <w:szCs w:val="18"/>
          <w:color w:val="auto"/>
        </w:rPr>
        <w:t>Charged to selling, general and administrative expense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-141605</wp:posOffset>
            </wp:positionV>
            <wp:extent cx="56489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748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3,749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3,977</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5480" w:space="720"/>
            <w:col w:w="2819"/>
          </w:cols>
          <w:pgMar w:left="1440" w:top="513" w:right="1440" w:bottom="1440" w:gutter="0" w:footer="0" w:header="0"/>
        </w:sectPr>
      </w:pPr>
    </w:p>
    <w:p>
      <w:pPr>
        <w:spacing w:after="0" w:line="2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first-in, first-out method (“FIFO”), or net realizable value. Finished goods and work-in-process include the inventory costs of raw materials, direct labor and manufacturing overhead costs.</w:t>
      </w:r>
    </w:p>
    <w:p>
      <w:pPr>
        <w:spacing w:after="0" w:line="1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Consolidated Statements of Operations. For the years ended December 31, 2022, 2021 and 2020, we recognized $12.3 million of net unrealized losses, $8.4 million of net unrealized gains and $2.0 million of net unrealized losses,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left="60" w:right="279"/>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allocated between cost of sales and selling, general and administrative expense and is determined using the straight-line method over the estimated useful life of the assets. Leasehold improvements are amortized using the straight-line method over the remaining life of the lease or useful life of the asset, whichever is shorter. Maintenance and repairs are charged to operating expense when incurred.</w:t>
      </w:r>
    </w:p>
    <w:p>
      <w:pPr>
        <w:spacing w:after="0" w:line="183"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 xml:space="preserve">As part of normal business operations, we identify long-lived assets that are no longer productive and dispose of them. Gains and losses on disposals of assets are presented separately in our Consolidated Statements of Operations as part of operating expenses. For the year ended December 31, 2020, we recognized a loss on disposal of property, plant and equipment of $5.8 million related to equipment associated with the acquired S&amp;D Coffee, Inc. (“S&amp;D”) Direct-Store-Delivery business, as described in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Goodwill – Intangible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2022, all of our goodwill is assigned to our Beverage Solutions reporting unit. Unless circumstances otherwise dictate, the annual impairment test is performed as of October 1.</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acquisitions multiples paid in recent transactions. We evaluate the appropriateness of each valuation methodology in determining the weighting applied to each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7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 to be an accurate prediction of future results. Key assumptions include our expected revenue growth rates, operating profits, levels of capital expenditures, and costs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the Company completed a qualitative analysis to evaluate impairment of goodwill and concluded that it was more likely than not that the fair value of our goodwill reporting unit exceeded the carrying amount. We reached this conclusion based on the valuation of our recently completed de-SPAC merger transaction, industry tailwinds, and in consideration of the significant excess fair value over carrying value of the prior year quantitative goodwill impairment evaluation. As a result, the Company concluded that no impairment existed in the year ending December 31, 2022.</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2020, due to the negative economic impacts that COVID-19 had on our business, we determined it was more-likely-than-not that the estimated fair value of our goodwill reporting units was less than its carrying value. Accordingly, we performed a quantitative assessment to determine whether a goodwill impairment existed during the second quarter of 2020. The discounted cash flow model reflects our assumptions regarding revenue growth rates, including estimated implications of COVID-19 to our revenues, cost structure, economic and market trends and other expectations around the anticipated operating results of our business. We discounted the estimated cash flows for the entity using rates that represent a market participant’s weighted average cost of capital commensurate with the</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underlying business operations. The market approach develops an indication of fair value by calculating average market pricing multiples of revenues and EBITDA for selected peer publicly-traded companies, as well as multiples for relevant transactions that have taken place. As a result of changes in consumer behaviors caused by mitigation strategies enacted to combat the spread of COVID-19, we experienced a decrease in the demand for our products, which resulted in an impairment charge of $76.9 million in our Beverage Solutions segment in the second quarter of 2020.</w:t>
      </w:r>
    </w:p>
    <w:p>
      <w:pPr>
        <w:spacing w:after="0" w:line="18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Following the acquisition of S&amp;D, and due to the implications of COVID-19 and its related impacts to our distribution operations, we assessed the acquired S&amp;D Direct-Store-Delivery (“DSD”) distribution business and determined to close the DSD distribution business in June 2020. As a result of exiting the business and loss of projected revenues that supported the acquired S&amp;D trademark, we fully impaired the associated acquired trademark and recorded a non-cash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impairment charge of $5.2 million for the year ended December 31, 2020, which is recognized in impairment charges in the Consolidated Statements of Operations.</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Property, Plant and Equipment</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review our property, plant and equipment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For the years ended December 31, 2022, 2021 and 2020, there were no events or changes in circumstances indicating that the carrying amount of any of our asset groups were not recoverable from future undiscounted cash flows we expect the asset groups to generate, and no impairment losses were recognized.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of December 31, 2022, our intangible assets subject to amortization, net of accumulated amortization were $130.9 million. Intangible assets, including acquired finite-lived intangible assets, are amortized on a straight-line basis over their remaining useful lives. The useful life for the customer relationship intangible assets acquired in our acquisitions was determined to be the expected remaining life of those relationships on a basis that reflects the pattern of realization. Other intangible assets are amortized over their expected recovery periods.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tested for impairment with the applicable asset group and evaluated for impairment along with property, plant and equipment. For the years ended December 31, 2022 and 2021, no impairment losses were recognized related to intangible assets subject to amortization.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Consolidated Statements of Operations.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(as defined in Note 4) based on the quoted market price of the Westrock Public Warrants. The Westrock Private Warrants (as defined in Note 4) are valued using a binomial lattice valuation model. For the year ended December 31, 2022, the Company recognized $29.7 million of losses related to the change in fair value of warrant liabilities, which is recognized in other (income) expense in the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Debt issuance costs consist primarily of loan origination fees, underwriting, legal and other direct costs related to the issuance of debt. Fees related to the issuance of our Term Loan Facility are capitalized and amortized to interest expense over the term of the debt using the frozen effective yield method. The unamortized amount is presented as a reduction of long-term debt on the Consolidated Balance Sheets. Fees related to our Revolving Credit Facility are amortized ratably over the term of the Revolving Credit Facility and are included in other long-term assets in the accompanying Consolidated Balance Sheets. Amortization of deferred debt issuance costs are included in interest expense in the Consolidated Statements of Operations.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movements in certain commodity prices, primarily green coffee. All derivative instruments are valued at fair value in the Consolidated Balance Sheets. We do not use derivative instruments for speculative purposes.</w:t>
      </w:r>
    </w:p>
    <w:p>
      <w:pPr>
        <w:spacing w:after="0" w:line="1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For coffee-related derivative instruments designated as cash flow hedges, the change in fair value of the derivative is reported as accumulated other comprehensive income (loss) (“AOCI”) and subsequently reclassified into product costs of sales in the period, or periods, when the hedged transaction affects earnings. Due to the high degree of effectiveness between the hedging instruments and the underlying exposures being hedged, fluctuations in the value of the derivative instruments are generally offset by changes in the fair values of the cash flows of the underlying exposures being hedged. The change in fair value of derivatives that were not designated and/or did not qualify as hedging instruments are immediately recognized in earnings.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consists of products and services which are accounted for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(“ASC 606”) and from commodity contracts that are accounted for under ASC 815.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net of sales returns, when ownership passes to customers for products manufactured in our own plants and/or by third parties on our behalf, and when prices to our customers are fixed or determinable and collection is reasonably assured. This may be upon shipment of goods or upon delivery to the customer, depending on the contractual terms. Shipping and handling costs paid by the customer to us are included in revenue. Although we occasionally accept returns of products from our customers, historically returns have not been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participate in various incentive programs with our customers, including volume-based incentives, contractual rebates and promotional allowances. Volume incentives are based on our customers achieving volume targets for a period of time. Volume incentives and contractual rebates are deducted from revenue and accrued as the incentives are earned and are based on management’s estimate of the total the customer is expected to earn and claim. Promotional allowances are accrued at the time of revenue recognition and are deducted from revenue based on either the volume shipped, or the volume sold at the retailer location, depending on the terms of the allowance. We regularly review customer sales forecasts to ensure volume targets will be met and adjust incentive accruals and revenues accordingly.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osts of Sales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record costs associated with the manufacturing of our products in costs of sales. Finished goods inventory costs include the costs of direct labor and materials and the applicable share of overhead expense chargeable to production.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record all other expenses not charged to production as selling, general and administrative expense, except those meeting the definition of acquisition, restructuring and integration expenses. Advertising costs are expensed at the commencement of an advertising campaign and are recognized as a component of selling, general and administrative expense. For the years ended December 31, 2022, 2021 and 2020, advertising expenses were approximately $3.6 million, $2.9 million and $2.7 million,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Shipping and handling costs incurred to deliver products from our locations to the end-user consumer of those products are recorded in selling, general and administrative expense in our Consolidated Statements of Operations. Shipping and handling costs included in selling, general and administrative expense were $22.1 million, $19.9 million and $15.9 million, for the years ended December 31, 2022, 2021 and 2020,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Shipping and handling costs incurred to store, prepare, and move products between production facilities or from production facilities to branch locations or storage facilities are recorded in costs of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have determined that our equity-based awards qualify as equity classified awards, and are measured based on the fair value of the award on the date of the grant. See Note 16.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The functional currency of our Rwandan subsidiary is the Rwandan Franc. All other international subsidiaries of the Company use the U.S. Dollar as their functional currency. The assets and liabilities of non-U.S. active operations are translated to U.S. dollars at the exchange rates in effect at the balance sheet dates. Revenues and expenses are translated using average monthly exchange rates prevailing during the period. The resulting gains or losses are recorded in AOCI.</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using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based on the technical merits. The second step requires management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188"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benefit line in the accompanying Consolidated Statements of Operations, and we include accrued interest and penalties within other long-term liabilities in the accompanying Consolidated Balance Sheets.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purchase 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The fair value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of the acquired assets and liabilities assumed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costs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 The results of operations of businesses acquired are included in the Company’s Consolidated Financial Statements from their dates of acquisition.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an 85% ownership interest in Falcon Coffees Limited, which operates our trading business and is reported within our Sustainable Sourcing &amp; Traceability segment. Equity interests not owned by us are reflected as noncontrolling interests. In the Consolidated Statements of Operations, we allocate net income (loss) attributable to non-controlling interest to arrive at net income (loss) attributable to common shareholders based on their proportionate share.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 Restructuring and Integration Expense</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expenses non-capitalizable acquisition, restructuring and integration expenses in the period in which they are incurred and services are received. Acquisition costs represent incremental transaction pursuit and unsuccessful pursuit costs, including professional services (legal, accounting, advisory, etc.), finder’s fees and other direct expenses associated with an acquisition. Restructuring and integration costs include direct costs related to restructuring activities, and costs necessary to integrate an acquired business, including professional services, systems and data conversions, severance and retention bonuses to employees of an acquired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Plans</w:t>
      </w:r>
    </w:p>
    <w:p>
      <w:pPr>
        <w:spacing w:after="0" w:line="225" w:lineRule="exact"/>
        <w:rPr>
          <w:sz w:val="20"/>
          <w:szCs w:val="20"/>
          <w:color w:val="auto"/>
        </w:rPr>
      </w:pPr>
    </w:p>
    <w:p>
      <w:pPr>
        <w:jc w:val="both"/>
        <w:ind w:left="60" w:right="19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exit or disposal of activities in accordance with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420”). The Company defines a business restructuring as an exit or disposal activity that includes but is not limited to a program which is planned and controlled by management and materially changes either the scope of a business or the manner in which that business is conducted. Business restructuring charges may include (i) one-time termination benefits related to employee separations, (ii) contract termination costs and (iii) other related costs associated with exit or disposal activities.</w:t>
      </w:r>
    </w:p>
    <w:p>
      <w:pPr>
        <w:spacing w:after="0" w:line="184"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2020, as a result of the closure of the acquired DSD business, we recognized $13.9 million of pre-tax restructuring charges, consisting of $5.6 million of lease termination expenses and $8.3 million of employee termination costs, which are reported in acquisition, restructuring and integration expense in the Consolidated Financial Statements. During the year ended December 31, 2021, the Company incurred $2.0 million of restructuring costs, which are recorded within acquisition, restructuring and integration expense on the Consolidated Statement of Operations. As of December 31, 2022 and 2021, we had no on-going restructuring plans and no restructuring liabilities outstanding.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Update ASU 2016-02 – Leases (Topic 842) and Update ASU 2018-10 – Codification Improvements to Topic 842, Leases</w:t>
      </w:r>
    </w:p>
    <w:p>
      <w:pPr>
        <w:spacing w:after="0" w:line="11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2022, 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statement of operations.</w:t>
      </w:r>
    </w:p>
    <w:p>
      <w:pPr>
        <w:spacing w:after="0" w:line="18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 xml:space="preserve">We adopted ASC 842 using a modified retrospective transition approach as permitted by the amendments of Accounting Standards Update (“ASU”) 2018-11 </w:t>
      </w:r>
      <w:r>
        <w:rPr>
          <w:rFonts w:ascii="Times New Roman" w:cs="Times New Roman" w:eastAsia="Times New Roman" w:hAnsi="Times New Roman"/>
          <w:sz w:val="18"/>
          <w:szCs w:val="18"/>
          <w:i w:val="1"/>
          <w:iCs w:val="1"/>
          <w:color w:val="auto"/>
        </w:rPr>
        <w:t>Leases (Topic 842): Target Improvements</w:t>
      </w:r>
      <w:r>
        <w:rPr>
          <w:rFonts w:ascii="Times New Roman" w:cs="Times New Roman" w:eastAsia="Times New Roman" w:hAnsi="Times New Roman"/>
          <w:sz w:val="18"/>
          <w:szCs w:val="18"/>
          <w:color w:val="auto"/>
        </w:rPr>
        <w:t>, which provides an alternative modified retrospective transition method. As a result, we were not required to adjust our comparative period financial information for effects of the standard or make the new required lease disclosures for periods before the date of adoption (i.e., January 1, 2022).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and (ii) the customer has a right to control the use of the identified asset. We enter into lease contracts for manufacturing and production facilities, distribution and warehousing facilities, vehicles and machinery and equipment. Upon adoption, we recognized $13.0 million of ROU assets and lease liabilities on our Consolidated Balance Sheets. See Note 9 for additional disclosures related to leases.</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ROU assets are initially measured at cost, which comprises the initial amount of the lease liability adjusted for lease payments made at or before the lease commencement date, plus any initial direct costs incurred, less any lease incentives received. The lease liabilities are initially measured at the present value of the unpaid lease payments at the lease commencement date. Lease expense, for operating leases, is recognized on a straight-line basis over the lease term.</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estimates and judgements include the following:</w:t>
      </w:r>
    </w:p>
    <w:p>
      <w:pPr>
        <w:spacing w:after="0" w:line="225" w:lineRule="exact"/>
        <w:rPr>
          <w:sz w:val="20"/>
          <w:szCs w:val="20"/>
          <w:color w:val="auto"/>
        </w:rPr>
      </w:pPr>
    </w:p>
    <w:p>
      <w:pPr>
        <w:ind w:left="1040" w:right="139" w:hanging="639"/>
        <w:spacing w:after="0" w:line="25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 ASC 842 requires a lessee to discount its unpaid lease payments using the rate implicit in the lease or, if that rate cannot be readily determined, its incremental borrowing rate. As we generally do not know the rate implicit in our leases, we use our incremental borrowing rate, based on the information available at the lease commencement date, in determining the present value of our lease payments. Our incremental borrowing rate for a lease is the rate of interest we would have to pay on a collateralized basis to borrow an amount equal to the lease payments under similar terms.</w:t>
      </w:r>
    </w:p>
    <w:p>
      <w:pPr>
        <w:spacing w:after="0" w:line="187" w:lineRule="exact"/>
        <w:rPr>
          <w:rFonts w:ascii="Times New Roman" w:cs="Times New Roman" w:eastAsia="Times New Roman" w:hAnsi="Times New Roman"/>
          <w:sz w:val="18"/>
          <w:szCs w:val="18"/>
          <w:color w:val="auto"/>
        </w:rPr>
      </w:pPr>
    </w:p>
    <w:p>
      <w:pPr>
        <w:ind w:left="1040" w:right="99" w:hanging="639"/>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xml:space="preserve"> – The lease term for all of our leases includes the noncancellable period of the lease plus any additional periods covered by either a lessee option to extend (or not to terminate) the lease that is reasonably certain to be exercised.</w:t>
      </w:r>
    </w:p>
    <w:p>
      <w:pPr>
        <w:spacing w:after="0" w:line="1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Variable lease payments associated with our leases are recognized when the event, activity, or circumstance in the lease agreement on which those payments are assessed occurs. Variable lease payments are included in both costs of sales and selling, general and administrative expense in our Consolidated Statements of Operations.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monitor for events or changes in circumstances that require a reassessment of a lease. When a reassessment results in the remeasurement of a lease liability, a corresponding adjustment is made to the carrying amount of the associated ROU asset, unless doing so would reduce the carrying amount of the ROU asset to an amount less than zero. In that case, the amount of the adjustment that would result in a negative ROU asset is recorded in the Consolidated Statements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Furthermore, we have elected to combine lease and non-lease components for all contracts. Non-lease components primarily relate to maintenance services related to the leased asset.</w:t>
      </w:r>
    </w:p>
    <w:p>
      <w:pPr>
        <w:spacing w:after="0" w:line="178"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Update ASU 2020-06 – Debt-Debt with Conversion and Other Options (Subtopic 470- 20) and Derivatives and Hedging - Contracts in Entity’s Own Equity (Subtopic 815-40): Accounting for Convertible Instruments and Contracts in an Entity’s Own Equity</w:t>
      </w:r>
    </w:p>
    <w:p>
      <w:pPr>
        <w:spacing w:after="0" w:line="175" w:lineRule="exact"/>
        <w:rPr>
          <w:sz w:val="20"/>
          <w:szCs w:val="20"/>
          <w:color w:val="auto"/>
        </w:rPr>
      </w:pPr>
    </w:p>
    <w:p>
      <w:pPr>
        <w:ind w:left="60" w:right="359"/>
        <w:spacing w:after="0" w:line="272"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 issued ASU 2020-06, which simplifies the accounting for certain financial instruments with characteristics of liabilities and equity. ASU 2020-06 (i) simplifies the accounting for convertible debt instruments and convertible preferred stock by removing the existing guidance in ASC</w:t>
      </w:r>
    </w:p>
    <w:p>
      <w:pPr>
        <w:spacing w:after="0" w:line="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470-20, Debt: Debt with Conversion and Other Options, that requires entities to account for beneficial conversion features and cash conversion features in equity, separately from the host convertible debt or preferred stock; (ii)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(iii) revises the guidance in ASC 260, Earnings Per Share, to require entities to calculate diluted earnings per share (“EPS”) for convertible instruments by using the if-converted method.</w:t>
      </w:r>
    </w:p>
    <w:p>
      <w:pPr>
        <w:spacing w:after="0" w:line="19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We adopted ASU 2020-06 effective January 1, 2021. Adoption of the new standard did not have a material impact on our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Update ASU 2021-08 – Business Combinations (Topic 805): Accounting for Contract Assets and Contract Liabilities from Contracts with Customers</w:t>
      </w:r>
    </w:p>
    <w:p>
      <w:pPr>
        <w:spacing w:after="0" w:line="52"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7"/>
          <w:szCs w:val="17"/>
          <w:color w:val="auto"/>
        </w:rPr>
        <w:t>In October 2021, the FASB issued ASU 2021-08, which requires an entity to recognize and measure contract assets and contract liabilities acquired in a business combination in accordance with ASC 606, Revenue from Contracts with Customers, instead of at fair value on the acquisition date as previously required by ASC 805. The amendments improve comparability after the business combination by providing consistent recognition and measurement guidance for acquired revenue contracts and revenue contracts not acquired in a business combination. The updated guidance is effective for public companies for fiscal years beginning after December 15, 2022, including interim periods within those fiscal years. For all other entities, the amendments are effective for fiscal years beginning after December 15, 2023, including interim periods within those fiscal years, and early adoption is permitted. The Company has not yet adopted ASU 2021-08; however, we do not believe this standard will have a material impact on our Consolidated Financial Statements.</w:t>
      </w:r>
    </w:p>
    <w:p>
      <w:pPr>
        <w:spacing w:after="0" w:line="171" w:lineRule="exact"/>
        <w:rPr>
          <w:sz w:val="20"/>
          <w:szCs w:val="20"/>
          <w:color w:val="auto"/>
        </w:rPr>
      </w:pPr>
    </w:p>
    <w:p>
      <w:pPr>
        <w:ind w:left="60" w:right="679"/>
        <w:spacing w:after="0" w:line="284" w:lineRule="auto"/>
        <w:rPr>
          <w:sz w:val="20"/>
          <w:szCs w:val="20"/>
          <w:color w:val="auto"/>
        </w:rPr>
      </w:pPr>
      <w:r>
        <w:rPr>
          <w:rFonts w:ascii="Times New Roman" w:cs="Times New Roman" w:eastAsia="Times New Roman" w:hAnsi="Times New Roman"/>
          <w:sz w:val="18"/>
          <w:szCs w:val="18"/>
          <w:i w:val="1"/>
          <w:iCs w:val="1"/>
          <w:color w:val="auto"/>
        </w:rPr>
        <w:t>Update ASU 2022-04 - Liabilities—Supplier Finance Programs (Subtopic 405-50): Disclosure of Supplier Finance Program Obligations</w:t>
      </w:r>
    </w:p>
    <w:p>
      <w:pPr>
        <w:spacing w:after="0" w:line="16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rollforward information, which is effective for fiscal years beginning after December 15, 2023. Early adoption is permitted. The Company will adopt applicable amendments within ASU 2022-04 on a retrospective basis beginning January 1, 2023. The amendments to ASU 2022-04 do not affect the recognition, measurement or financial statement presentation of obligations covered by supplier finance programs.</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De-SPAC Merger Transaction</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August 26, 2022,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the Company received $205.9 million in cash proceeds (which amount excludes contribution to the Company of certain related party notes as described in Note 12) from common stock PIPE investments (the “PIPE Financing”), issued 20,590,000 Common Shares to the PIPE investors (which share amount excludes the conversion of the related party notes as described in Note 12), and entered into a credit agreement that includes (a) a senior secured first lien revolving credit facility in an initial aggregate principal amount of $175.0 million and (b) a senior secured first lien term loan facility in an initial aggregate principal amount of $175.0 million. See Note 12 for additional disclosures regarding the new credit agreement.</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Prior to the Closing, the Company’s ownership interests consist of two classes of equity, referred to as Common Units and Common Equivalent Preferred Units (the “CEP Units”). At inception, each CEP Unit has a liquidation preference of $1.00 per unit, increased by an amount accruing at the rate of 10% per annum, compounding annually, based on its liquidation preference as of the time of such accrual, and reduced by the cumulative amount of any cash dividends or distributions, if any, made by the Company in respect of such CEP Unit (the “CEP Unit Liquidation Preference”). During the years ended December 31, 2022, 2021 and 2020, the CEP Units accrued $13.9 million, $24.2 million and $18.5 million of liquidation preference, respectively. In connection with the Closing, holders of Common Equivalent Preferred Units were paid a cash dividend totaling $4.4 million, which is equal to the accreted liquidation preference of the Common Equivalent Preferred Units from June 30, 2022 through Closing.</w:t>
      </w:r>
    </w:p>
    <w:p>
      <w:pPr>
        <w:spacing w:after="0" w:line="18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Pursuant to the Transaction Agreement, (a) each issued and outstanding Common Unit converted into 0.1049203474320 Common Shares, (b) each issued and outstanding Common Equivalent Preferred Unit for which the holder had not elected to convert such unit into shares of Series A convertible preferred stock of Westrock (the “Westrock Series A Preferred Shares”) (see Note 13), automatically converted into 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9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 Preferred Units into Westrock Series A Preferred Shares. The Company realized a net loss on extinguishment of the Common Equivalent Preferred Units of $2.9 million, including the payment of approximately $1.3 million of issuance costs, which have been recorded within accumulated deficit on our Consolidated Balance Sheets and adjusts earnings attributable to common shareholders in computing basic and diluted earnings per share.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stockholders, Riverview provided an opportunity for its stockholders to redeem all or a portion of their outstanding Riverview Class A Shares.</w:t>
      </w:r>
    </w:p>
    <w:p>
      <w:pPr>
        <w:spacing w:after="0" w:line="19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 xml:space="preserve">The Transaction is a capital transaction in substance and not a business combination under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(“ASC 805”)</w:t>
      </w:r>
      <w:r>
        <w:rPr>
          <w:rFonts w:ascii="Times New Roman" w:cs="Times New Roman" w:eastAsia="Times New Roman" w:hAnsi="Times New Roman"/>
          <w:sz w:val="18"/>
          <w:szCs w:val="18"/>
          <w:color w:val="auto"/>
        </w:rPr>
        <w:t>. As a result, Westrock is treated as the accounting acquirer and Riverview is treated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company for financial reporting purposes per ASC 805. Accordingly, for accounting purposes, the Transaction is treated similar to an equity contribution in exchange for the issuance of Common Shares.</w:t>
      </w:r>
    </w:p>
    <w:p>
      <w:pPr>
        <w:spacing w:after="0" w:line="18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equityholders of the Company, prior to the Closing, have been retroactively adjusted as shares reflecting the common unit conversion ratio discussed above.</w:t>
      </w:r>
    </w:p>
    <w:p>
      <w:pPr>
        <w:spacing w:after="0" w:line="180"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Company and Riverview incurred $24.0 million and $17.1 million, respectively, of expenses related to the Transaction.</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expenses consist of underwriting fees, professional services (legal, accounting, advisory, etc.) and other direct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associated with the Transaction. Costs incurred by Westrock were initially capitalized as incurred in the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on the Consolidated Balance Sheets. As a result of the transaction, $24.0 million of transaction costs incurred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related to the issuance of shares were recognized in additional paid-in capital as a reduction of proceeds.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$17.1 million of expenses incurred by Riverview were either paid by Riverview prior to Closing or netted against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by the Company at Closing. There were no deferred transaction costs recorded in the Consolidated Balance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Sheets as of December 31, 2022.</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11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Consolidated Balance Sheet. The Westrock Warrants entitle the holder to purchase one share of Common Share at an exercise price of $11.50 per share.</w:t>
      </w:r>
    </w:p>
    <w:p>
      <w:pPr>
        <w:spacing w:after="0" w:line="29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Westrock Warrants became exercisable for cash on December 21, 2022 upon the effectiveness of our Registration Statement on Form S-1 (File No. 333-267509) (“Warrant Registration Statement”) registering the Common Shares issuable upon the exercise of the Westrock Warrants. The Westrock Warrants may only be exercised for a whole number of shares, and will expire on August 26, 2027 (i.e., five years following the Closing), or earlier upon redemption or liquidations.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Westrock Warrants to exercise their Westrock Warrants on a “cashless basis” in accordance with Section 3(a)(9) of the Securities Act of 1933, as amended, or another exemption.</w:t>
      </w:r>
    </w:p>
    <w:p>
      <w:pPr>
        <w:spacing w:after="0" w:line="16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Between November 25, 2022 and December 21, 2022, the effective date of the Warrant Registration Statement, 527,084 Westrock Public Warrants were exercised on a cashless basis, in accordance with the terms of the Westrock Warrants, resulting in the issuance of 94,453 Common Shares. There were no other exercises of Warrants for the year ended December 31, 2022. From December 31, 2022 through the date of these financial statements, Westrock has received $2.6 million in cash proceeds from the exercise of 228,796 Public Warrants, resulting in the issuance of 228,796 Common Shares.</w:t>
      </w:r>
    </w:p>
    <w:p>
      <w:pPr>
        <w:spacing w:after="0" w:line="18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Westrock Private Warrants, which became transferable, assignable and salable on September 26, 2022 (i.e., 30 days after the Closing), are currently held by the Riverview Sponsor, and are generally identical to the Westrock Public Warrants, except they cannot be redeemable by Westrock so long as they are held by the Riverview Sponsor or its permitted transferees. The Riverview Sponsor, or its permitted transferees, have the option to exercise the Westrock Private Warrants on a cashless basis. If the Westrock Private Warrants are held by holders other than the Riverview Sponsor or its permitted transferees, the Westrock Private Warrants will become redeemable by Westrock and exercisable by the holders on the same basis as the Westrock Public Warrants.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December 31, 2022, the Company has $14.6 million of such repurchase agreement obligations, collateralized by the corresponding inventory, that are recorded within accrued expenses and other current liabilities on the Consolidated Balance Sheets.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underlying, notional amount, no initial net investment and can be net settled since the commodity is readily converted to cash. The Company does not apply the normal purchase and normal sale exception under ASC 815 to these contracts.</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 of sales on our Consolidated Statements of Operations. For the years ended December 31, 2022, 2021 and 2020, we recorded $8.8 million of net unrealized gains, $4.8 million of net unrealized losses and $2.2 million of net unrealized gains, respectively, within costs of sales.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$181.7 million, $145.6 million and</w:t>
      </w:r>
    </w:p>
    <w:p>
      <w:pPr>
        <w:spacing w:after="0" w:line="27"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$123.8 million in revenues under ASC 815, respectively, and are reported within the Company’s Sustainable Sourcing &amp; Traceability segment.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Consolidated Balance Sheets. Accrued sales incentives were $1.3 million at December 31, 2022 and $1.9 million at December 31, 2021.</w:t>
      </w:r>
    </w:p>
    <w:p>
      <w:pPr>
        <w:spacing w:after="0" w:line="18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December 31, 2022 or 2021. Receivables from contracts with customers are included in accounts receivable, net on the Company’s Consolidated Balance Sheets. At December 31, 2022 and 2021, accounts receivable, net included $104.7 million and $89.0 million in receivables from contracts with customers, respectively.</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December 31, 2022 and 2021, no costs were capitalized as all arrangements were less than a year.</w:t>
      </w:r>
    </w:p>
    <w:p>
      <w:pPr>
        <w:spacing w:after="0" w:line="1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Contract assets, primarily deferred promotional incentives paid to customers, totaled $0.4 million at December 31, 2022 and $0.5 million at December 31, 2021, and were included in prepaid expenses and other current assets on our Consolidated Balance Sheets. Deferred promotional incentives are amortized straight-line over the contract life. Amortization of deferred contract costs for the years ended December 31, 2022, 2021 and 2020 was $1.2 million, $0.3 million and $1.3 million, respectively, and are included in revenues in our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Customers</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no customers accounted for more than 10% of our consolidated net revenues. For the year ended December 31, 2020, one customer, which is reported within our Beverage Solutions segment accounted for approximately 10% of our net revenue.</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10"/>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&amp; tea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569,464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344,919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182,569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867,872</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583,011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445,210</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105,636</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Kohana Coffee, LLC</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ready-to-drink focused business, based in Richmond, California, serving customers in the retail and CPG industries. The acquisition allows the Company to accelerate the development, production, and distribution of ready-to-drink products in cans and bottles. Aggregate consideration paid for Kohana Coffee included 1,852,608 shares of common stock of the Company, par value $0.01 per share, and approximately $15.7 million in cash, subject to customary adjustments.</w:t>
      </w:r>
    </w:p>
    <w:p>
      <w:pPr>
        <w:spacing w:after="0" w:line="18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fair value of the stock consideration was based on the closing price of the Company’s common stock on the date of acquisition. The total consideration paid in the Kohana Acquisition is summarized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720" w:type="dxa"/>
            <w:vAlign w:val="bottom"/>
            <w:tcBorders>
              <w:top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stock consideration</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w:t>
            </w: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560"/>
        </w:trPr>
        <w:tc>
          <w:tcPr>
            <w:tcW w:w="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the preliminary purchase price allocation of the assets acquired and liabilities assumed: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Acquired Value</w:t>
            </w: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assets and liabilities acquired in the Kohana Acquisition are recorded at their estimated fair values.</w:t>
      </w:r>
    </w:p>
    <w:p>
      <w:pPr>
        <w:spacing w:after="0" w:line="225"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above purchase price allocation is considered preliminary and is subject to change when the valuation of assets and liabilities is finalized upon receipt of the final valuation report from a third-party valuation expert, and the settlement of post-closing working capital adjustments, which is anticipated to be finalized during 2023.</w:t>
      </w:r>
    </w:p>
    <w:p>
      <w:pPr>
        <w:spacing w:after="0" w:line="1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cost of the acquisition in excess of the fair market value of the tangible and intangible assets acquired less liabilities assumed represents acquired goodwill, which is deductible for tax purposes. The goodwill arising from the transaction is primarily attributable to strategic opportunities from the acquisition of Kohana, including our ability to accelerate the development, production, and distribution of ready-to-drink products in cans and bottles to our existing customers.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our determination of the fair value of intangible assets, we consider, among other factors, the best use of acquired assets, analysis of historical financial performance and estimates of future performance of the acquired business’ products. The estimated fair values of identified intangible assets are calculated considering both market participant expectations, using an income approach, as well as estimates and assumptions provided by Westrock management and management of the acquired business. Assumptions include, but are not limited to, expected revenue growth, weighted-average terminal growth rates, risk adjusted discount rate and royalty rate.</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estimated fair value of customer relationships represents future after-tax discounted cash flows that will be derived from sales to existing customers of the acquired business as of the date of acquisition.</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identified intangible assets associated with the Kohana Acquisition and their estimated weighted average useful lives: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left="19"/>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Kohana Coffee, which is reported within our Beverage Solutions segment, contributed net sales of $1.5 million and operating loss of $0.5 million from the date of acquisition through December 31, 2022. Expenses associated with the acquisition were not material.</w:t>
      </w:r>
    </w:p>
    <w:p>
      <w:pPr>
        <w:spacing w:after="0" w:line="1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Kohana Acquisition had occurred on January 1, 2021. The pro forma results include additional depreciation and amortization resulting from purchase accounting adjustments. The pro forma results do not include any synergies or other benefits of the acquisition. The pro forma results are not indicative of future results of operations, or results that might have been achieved had the acquisition been consummated on January 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amounts)</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320" w:type="dxa"/>
            <w:vAlign w:val="bottom"/>
            <w:gridSpan w:val="2"/>
            <w:vMerge w:val="continue"/>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884,228</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716,849</w:t>
            </w:r>
          </w:p>
        </w:tc>
        <w:tc>
          <w:tcPr>
            <w:tcW w:w="0" w:type="dxa"/>
            <w:vAlign w:val="bottom"/>
          </w:tcPr>
          <w:p>
            <w:pPr>
              <w:spacing w:after="0"/>
              <w:rPr>
                <w:sz w:val="1"/>
                <w:szCs w:val="1"/>
                <w:color w:val="auto"/>
              </w:rPr>
            </w:pP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(84,651)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S&amp;D Coffee, Inc.</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28, 2020, the Company acquired 100% of the issued and outstanding shares of capital stock of S&amp;D in exchange for $401.6 million in cash. The acquisition was financed with the issuances of Common Equivalent Preferred Units, a $240.0 million term loan, and a $25.0 million draw from an asset-based lending facility. The acquisition allowed the Company to expand our blue-chip customer base and product capabilities, creating an integrated coffee, tea, and extract company serving retailers, restaurants, convenience stores, and the hospitality industry.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consideration paid in the S&amp;D acquisition is summarized below:</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Cott Corporation</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397,878</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on behalf of sellers for seller's transaction expenses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Post-close working capital adjustments</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401,619</w:t>
            </w: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the purchase price allocation of the assets acquired, and liabilities assumed: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Acquired Value</w:t>
            </w:r>
          </w:p>
        </w:tc>
      </w:tr>
      <w:tr>
        <w:trPr>
          <w:trHeight w:val="210"/>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57,818</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67,297</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92,369</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159,320</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(87,216)</w:t>
            </w: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(42,168)</w:t>
            </w:r>
          </w:p>
        </w:tc>
      </w:tr>
      <w:tr>
        <w:trPr>
          <w:trHeight w:val="216"/>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1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401,619</w:t>
            </w: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assets and liabilities acquired in the S&amp;D acquisition are recorded at their estimated fair values per valuations.</w:t>
      </w:r>
    </w:p>
    <w:p>
      <w:pPr>
        <w:spacing w:after="0" w:line="22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cost of the acquisition in excess of the fair market value of the tangible and intangible assets acquired less liabilities assumed represents acquired goodwill, which is not deductible for tax purposes. The acquisition provides the Company with an expanded presence and manufacturing and distribution synergies, which provide the basis for the goodwill recognition. Additionally, the existence of an assembled workforce was not considered an identifiable asset below, and any value attributed to it was subsumed into the valuation of goodwill.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our determination of the fair value of intangible assets, we consider, among other factors, the best use of acquired assets, analysis of historical financial performance and estimates of future performance of the acquired business’ products. The estimated fair values of identified intangible assets are calculated considering both market participant expectations, using an income approach, as well as estimates and assumptions provided by Westrock management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management of the acquired business. Assumptions include, but are not limited to, expected revenue growth, weighted-average terminal growth rates, risk adjusted discount rate and royalty rate.</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estimated fair value of customer relationships represents future after-tax discounted cash flows that will be derived from sales to existing customers of the acquired business as of the date of acquisition.</w:t>
      </w:r>
    </w:p>
    <w:p>
      <w:pPr>
        <w:spacing w:after="0" w:line="16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trademark represents the future projected cost savings associated with the premium and brand image obtained as a result of owning the trademark as opposed to obtaining the benefit of the trademark through a royalty or rental fee.</w:t>
      </w:r>
    </w:p>
    <w:p>
      <w:pPr>
        <w:spacing w:after="0" w:line="1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identified intangible assets associated with the S&amp;D acquisition and their estimated weighted average useful lives: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r>
      <w:tr>
        <w:trPr>
          <w:trHeight w:val="148"/>
        </w:trPr>
        <w:tc>
          <w:tcPr>
            <w:tcW w:w="6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(Thousands)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r>
      <w:tr>
        <w:trPr>
          <w:trHeight w:val="210"/>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180" w:type="dxa"/>
            <w:vAlign w:val="bottom"/>
          </w:tcPr>
          <w:p>
            <w:pPr>
              <w:spacing w:after="0"/>
              <w:rPr>
                <w:sz w:val="18"/>
                <w:szCs w:val="18"/>
                <w:color w:val="auto"/>
              </w:rPr>
            </w:pPr>
          </w:p>
        </w:tc>
        <w:tc>
          <w:tcPr>
            <w:tcW w:w="1200" w:type="dxa"/>
            <w:vAlign w:val="bottom"/>
            <w:tcBorders>
              <w:top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Favorable lease asset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left="37"/>
              <w:spacing w:after="0"/>
              <w:rPr>
                <w:sz w:val="20"/>
                <w:szCs w:val="20"/>
                <w:color w:val="auto"/>
              </w:rPr>
            </w:pPr>
            <w:r>
              <w:rPr>
                <w:rFonts w:ascii="Times New Roman" w:cs="Times New Roman" w:eastAsia="Times New Roman" w:hAnsi="Times New Roman"/>
                <w:sz w:val="18"/>
                <w:szCs w:val="18"/>
                <w:color w:val="auto"/>
              </w:rPr>
              <w:t>5 years</w:t>
            </w:r>
          </w:p>
        </w:tc>
      </w:tr>
      <w:tr>
        <w:trPr>
          <w:trHeight w:val="20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spacing w:after="0" w:line="312" w:lineRule="auto"/>
        <w:rPr>
          <w:sz w:val="20"/>
          <w:szCs w:val="20"/>
          <w:color w:val="auto"/>
        </w:rPr>
      </w:pPr>
      <w:r>
        <w:rPr>
          <w:rFonts w:ascii="Times New Roman" w:cs="Times New Roman" w:eastAsia="Times New Roman" w:hAnsi="Times New Roman"/>
          <w:sz w:val="17"/>
          <w:szCs w:val="17"/>
          <w:color w:val="auto"/>
        </w:rPr>
        <w:t>As described in Note 3, as a result of exiting the acquired DSD business and loss of projected revenues that supported the acquired S&amp;D trademark, we fully impaired the associated acquired trademark during the year ended December 31, 2020.</w:t>
      </w:r>
    </w:p>
    <w:p>
      <w:pPr>
        <w:spacing w:after="0" w:line="14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S&amp;D, which is reported within our Beverage Solutions segment, contributed revenue of $349.2 million and operating loss of $1.3 million, excluding $14.3 million acquisition, restructuring and integration costs, and $95.0 million of impairment charges, inventory write-offs and losses on disposal of property, plant and equipment, from the date of acquisition through December 31, 2020.</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S&amp;D acquisition had occurred on January 1, 2020. The pro forma results include additional depreciation and amortization resulting from purchase accounting adjustments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on January 1, 2020.</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amounts)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inventories as of December 31, 2022 and 2021: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24"/>
                <w:szCs w:val="24"/>
                <w:color w:val="auto"/>
              </w:rPr>
            </w:pPr>
          </w:p>
        </w:tc>
        <w:tc>
          <w:tcPr>
            <w:tcW w:w="1460" w:type="dxa"/>
            <w:vAlign w:val="bottom"/>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145,836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represents green coffee held for resale. At December 31, 2022 and 2021, all green coffee held for resale was included within our Sustainable Sourcing &amp; Traceability segment.</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December 31, 2022 and 2021: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20" w:type="dxa"/>
            <w:vAlign w:val="bottom"/>
          </w:tcPr>
          <w:p>
            <w:pPr>
              <w:spacing w:after="0"/>
              <w:rPr>
                <w:sz w:val="18"/>
                <w:szCs w:val="18"/>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10-40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43,895</w:t>
            </w: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3-15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88,155</w:t>
            </w: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3-10 years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w:t>
            </w: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180,254</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(52,641)</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92" w:lineRule="exact"/>
        <w:rPr>
          <w:sz w:val="20"/>
          <w:szCs w:val="20"/>
          <w:color w:val="auto"/>
        </w:rPr>
      </w:pPr>
    </w:p>
    <w:p>
      <w:pPr>
        <w:jc w:val="both"/>
        <w:ind w:left="60" w:right="179"/>
        <w:spacing w:after="0" w:line="289" w:lineRule="auto"/>
        <w:rPr>
          <w:sz w:val="20"/>
          <w:szCs w:val="20"/>
          <w:color w:val="auto"/>
        </w:rPr>
      </w:pPr>
      <w:r>
        <w:rPr>
          <w:rFonts w:ascii="Times New Roman" w:cs="Times New Roman" w:eastAsia="Times New Roman" w:hAnsi="Times New Roman"/>
          <w:sz w:val="17"/>
          <w:szCs w:val="17"/>
          <w:color w:val="auto"/>
        </w:rPr>
        <w:t>Depreciation expense for the years ended December 31, 2022, 2021 and 2020 was $17.4 million, $18.8 million and $18.2 million, respectively. Assets classified as construction in progress are not depreciated, as they are not ready for production use. All assets classified as construction in progress on December 31, 2022 are expected to be in production use.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and production facilities, distribution and warehousing facilities, vehicles and machinery and equipment. Some of our lease agreements have renewal options, tenant improvement allowances, rent holidays and rent escalation clauses. The remaining terms on our leases range from 1 year to 7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5"/>
                <w:szCs w:val="15"/>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long-term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r>
      <w:tr>
        <w:trPr>
          <w:trHeight w:val="21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r>
    </w:tbl>
    <w:p>
      <w:pPr>
        <w:spacing w:after="0" w:line="198"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Depending on the nature of the lease, lease costs are classified within costs of sales or selling, general and administrative expense on the Company’s Consolidated Statements of Operations. The components of lease costs are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r>
      <w:tr>
        <w:trPr>
          <w:trHeight w:val="20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561"/>
        </w:trPr>
        <w:tc>
          <w:tcPr>
            <w:tcW w:w="6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years</w:t>
            </w:r>
          </w:p>
        </w:tc>
      </w:tr>
      <w:tr>
        <w:trPr>
          <w:trHeight w:val="41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 about the Company’s leases is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0"/>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2022 are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09"/>
        </w:trPr>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0"/>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Disclosures related to periods prior to adoption of ASC 842</w:t>
      </w:r>
    </w:p>
    <w:p>
      <w:pPr>
        <w:spacing w:after="0" w:line="22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Rent expense for operating lease agreements under the previous lease guidance was $4.4 million and $5.7 million, for the years ended December 31, 2021 and 2020, respectively.</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As previously reported in our audited Consolidated Financial Statements for year ended December 31, 2021, the minimum future lease payments under the previous lease guidance as of December 31, 2021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0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w:t>
            </w: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goodwill occurring during the years ended December 31, 2022 and 2021 were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Changes during the period: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159,320</w:t>
            </w: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Changes during the period: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10"/>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190,882</w:t>
            </w: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(76,883)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113,999</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December 31, 2022 and 2021: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4"/>
        </w:trPr>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$ 148,648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$ 150,277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130,886</w:t>
            </w: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9"/>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4"/>
        </w:trPr>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$ 137,500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$ 138,478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125,914</w:t>
            </w: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$6.8 million, $6.7 million and $5.6 million for the years ended December 31, 2022, 2021 and 2020, respectively. As of December 31, 2022, the weighted average useful life for definite-lived intangibles is approximately 20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for intangible assets subject to amortization over the next five years is: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94,158</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Our long-term debt as of December 31, 2022 and 2021 was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Prior term loan facility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235,668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ABL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long-term debt payments required in each of the next five years and thereafter:</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131,252</w:t>
            </w: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176,775</w:t>
            </w:r>
          </w:p>
        </w:tc>
      </w:tr>
      <w:tr>
        <w:trPr>
          <w:trHeight w:val="20"/>
        </w:trPr>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On August 29, 2022, the Company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Applicable Margin ranges from 1.50% to 2.50% for Adjusted Term SOFR loans and from 0.50% to 1.50% for Base Rate loans, in each case depending on the total net leverage ratio. Commitment fees on the daily unused amount of commitments under the Revolving Credit Facility range from 0.20% to 0.35% depending on the total net leverage ratio. At December 31, 2022, the Revolving Credit Facility was undrawn (other than the standby letters of credit outstanding described below) and the interest rate applicable to our Term Loan Facility was 5.7%.</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Term Loan Facility requires quarterly principal payments during the first three years of approximately $2.2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(1.25% of the original principal balance). Quarterly payments increase to approximately $3.3 million and $4.4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(1.875% and 2.5% of the original principal balance) during the fourth and fifth years, respectively.</w:t>
      </w:r>
    </w:p>
    <w:p>
      <w:pPr>
        <w:spacing w:after="0" w:line="20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Consolidated Balance Sheets and are being amortized ratably over the term of the Revolving Credit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had $2.6 million of standby letters of credit outstanding at December 31, 2022.</w:t>
      </w:r>
    </w:p>
    <w:p>
      <w:pPr>
        <w:spacing w:after="0" w:line="22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Credit Agreement contains two financial covenants requiring maintenance of a total net leverage ratio not to exceed 4.50 to 1.00, with a stepdown to 4.00 to 1.00 on the 18-month anniversary of the closing date of the Credit Agreement (with an option to increase to 4.50 to 1.00 following certain permitted acquisitions), and an interest coverage ratio of at least 1.50 to 1.00 (the “Financial Covenants”). At December 31, 2022, and the date of these financial statements, we were in compliance with the Financial Covenants.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Term Loan Facility</w:t>
      </w:r>
    </w:p>
    <w:p>
      <w:pPr>
        <w:spacing w:after="0" w:line="227"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On February 28, 2020, Westrock Beverage Solutions, LLC, as borrower, borrowed $240.0 million of term loans from various financial institutions pursuant to a loan and security agreement (the “Prior Term Loan Agreement”) (such term loans, the “Prior Term Loan Facility”). In connection with the Closing, all outstanding Prior Term Loan Facility balances were repaid, and the associated Prior Term Loan Agreement was terminated. The Company paid a $1.6 million early termination fee, and wrote off $4.0 million of unamortized deferred financing fees associated with the termination of the Prior Term Loan Facility, which are recorded within interest expense on the Consolidated Statement of Operations.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ABL Facility</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28, 2020, Westrock Beverage Solutions, LLC, as borrower, entered into a loan and security agreement with Bank of America as administrative agent (the “Prior ABL Credit Agreement”) that created an asset-based loan of $90.0 million (the “Prior ABL Facility”). In connection with the Closing, all outstanding Prior ABL Facility balances were repaid, and the associated Prior ABL Credit Agreement was terminated. Upon termination, we wrote off $0.3 million of the $1.3 million unamortized deferred financing fees associated with the Prior ABL Facility, which are recorded within interest expense on the Consolidated Statement of Operations. The remaining unamortized deferred financing fees were allocated to the new Revolving Credit Facility and will be amortized over the life of the Revolving Credit Facility. Outstanding letters of credit under the Prior ABL Facility were replaced by letters of credit under the Credit Agreement.</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Falcon maintains a working capital trade finance facility with multiple financial institutions, which prior to March 16, 2022, was agented by Brown Brothers Harriman (“BBH”), a related party of the Company through its equity interests in the Company, and was reported as short-term related party debt on the Consolidated Balance Sheets. On March 16, 2022, Falcon refinanced its working capital trade finance facility, and the facility was transferred to different lenders with the same terms as the previous facility. At the time of refinance, there was $49.3 million outstanding under the facility. The new facility is uncommitted and repayable on demand. Certain of Falcon’s assets with a net book amount of $39.8 million have been pledged as collateral against the facility as of December 31, 2022. On April 29, 2022, the facility size increased from $50.0 million to $55.0 million and subsequently, on June 16, 2022, the facility size increased to $62.5 million. On December 9, 2022, the facility size decreased from $62.5 million to $47.5 million and subsequently, on December 20, 2022, the facility was modified for various definitions, clauses and schedules within the facility agreement.</w:t>
      </w:r>
    </w:p>
    <w:p>
      <w:pPr>
        <w:spacing w:after="0" w:line="19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At December 31, 2022, there was $36.3 million outstanding under the facility, which is recorded in short-term debt in the Consolidated Balance Sheets. Interest is payable monthly at the U.S. Prime Rate plus 2.50%, subject to a minimum rate of 5.00%. The facility carries an agent fee of 0.25% of total available capital. Availability under the facility is subject to a borrowing base calculation. Falcon’s facility contains certain restrictive financial covenants which require Falcon to maintain certain levels of working capital, debt, and net worth. Falcon was in compliance with these financial covenants as of December 31, 2022, and the date of these financial statements.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stock and mortgage-backed lending facilities with a local bank in Rwanda: a short-term trade finance facility with a balance of $6.6 million at December 31, 2022 and a long-term note payable with a balance of $1.8 million at December 31,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Subordinated Related Party Debt</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On February 28, 2020, we issued $13.3 million of subordinated debt (the “Subordinated Notes”) to Wooster Capital, LLC (“Wooster”) and Jo Ellen Ford, related parties of the Company through their equity ownership and relation with Joe Ford, the chairman of our board of directors. The Subordinated Notes provided for maturity on the earlier of (i) six months after the Prior Term Loan Facility due in 2025 was paid in full or (ii) 10 years from the date of issuance (February 2030). Interest was payable quarterly at the end of each calendar quarter at a rate of 6% per annum.</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Substantially concurrently with the Closing and pursuant to the terms of their respective subscription agreements with the Company, Wooster and Jo Ellen Ford contributed their respective Subordinated Notes to the Company and in exchange for such contribution, the Company issued Common Shares to Wooster and Jo Ellen Ford. The Company issued a total of 1,330,000 Common Shares in exchange for the contribution of the Subordinated Notes, which were subsequently extinguished.</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on July 14, 2022, pursuant to the terms of the subscription agreement entered into between the Company and Wooster, in which Wooster agreed to subscribe for and purchase, and the Company agreed to issue and sell to Wooster, prior to and substantially concurrently with the Closing, an aggregate of 2,150,000 Common Shares at a purchase price of $10.00 per share, for aggregate gross proceeds of $21,500,000 to the Company, Wooster pre-funded $11.7 million of its commitment (the “Wooster Pre-fund”) and in exchange thereof was issued a subordinated convertible note by the Company (the “Convertible Note”). The Convertible Note had a principal amount of $11.7 million, a maturity of one year and an interest rate of 8% per annum which was payable quarterly on the last business day of each quarter. On August 26, 2022, in connection with the Closing, the Convertible Note automatically converted, in accordance with its terms, into 1,170,000 Common Shares.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Series A Preferred Shares</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 issued 23,587,952 Westrock Series A Preferred Shares, which rank senior to the Common Shares with respect to dividend rights and/or distribution rights upon the liquidation, winding up or dissolution, as applicable, of Westrock. Each holder of Westrock Series A Preferred Shares is entitled to vote, on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76"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After February 26, 2028 (i.e., the five and a half 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w:t>
      </w:r>
    </w:p>
    <w:p>
      <w:pPr>
        <w:spacing w:after="0" w:line="192" w:lineRule="exact"/>
        <w:rPr>
          <w:sz w:val="20"/>
          <w:szCs w:val="20"/>
          <w:color w:val="auto"/>
        </w:rPr>
      </w:pPr>
    </w:p>
    <w:p>
      <w:pPr>
        <w:ind w:left="60" w:right="479"/>
        <w:spacing w:after="0" w:line="272" w:lineRule="auto"/>
        <w:rPr>
          <w:sz w:val="20"/>
          <w:szCs w:val="20"/>
          <w:color w:val="auto"/>
        </w:rPr>
      </w:pPr>
      <w:r>
        <w:rPr>
          <w:rFonts w:ascii="Times New Roman" w:cs="Times New Roman" w:eastAsia="Times New Roman" w:hAnsi="Times New Roman"/>
          <w:sz w:val="17"/>
          <w:szCs w:val="17"/>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w:t>
      </w:r>
    </w:p>
    <w:p>
      <w:pPr>
        <w:spacing w:after="0" w:line="2" w:lineRule="exact"/>
        <w:rPr>
          <w:sz w:val="20"/>
          <w:szCs w:val="20"/>
          <w:color w:val="auto"/>
        </w:rPr>
      </w:pPr>
    </w:p>
    <w:p>
      <w:pPr>
        <w:ind w:left="60" w:right="179" w:hanging="10"/>
        <w:spacing w:after="0" w:line="251"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94"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Consolidated Balance Sheets at fair value. Subsequently, the Company will accrete changes in the redemption value from the date of issuance to the earliest redemption date (i.e., the five and a half 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year ended December 31, 2022 the Company recorded $1.3 million of accretion with respect to the Westrock Series A Preferred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29" w:lineRule="exact"/>
        <w:rPr>
          <w:sz w:val="20"/>
          <w:szCs w:val="20"/>
          <w:color w:val="auto"/>
        </w:rPr>
      </w:pPr>
    </w:p>
    <w:p>
      <w:pPr>
        <w:jc w:val="both"/>
        <w:ind w:left="60" w:right="299"/>
        <w:spacing w:after="0" w:line="289" w:lineRule="auto"/>
        <w:rPr>
          <w:sz w:val="20"/>
          <w:szCs w:val="20"/>
          <w:color w:val="auto"/>
        </w:rPr>
      </w:pPr>
      <w:r>
        <w:rPr>
          <w:rFonts w:ascii="Times New Roman" w:cs="Times New Roman" w:eastAsia="Times New Roman" w:hAnsi="Times New Roman"/>
          <w:sz w:val="17"/>
          <w:szCs w:val="17"/>
          <w:color w:val="auto"/>
        </w:rPr>
        <w:t>We record all derivatives, whether designated in a hedging relationship or not, at fair value on the Consolidated Balance Sheets. We use various types of derivative instruments including, but not limited to, forward contracts, futures contracts, and options contracts for certain commodities. Forward and futures contracts are agreements to buy or sell a quantity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been designated and qualify for fair value hedge accounting are recorded in the same line item in our Consolidated Statements of Operations as the changes in the fair value of the hedged items attributable to the risk being hedged. The changes in fair values of derivatives that have been designated and qualify as cash flow hedges are recorded in AOCI and are reclassified into the line item in the Consolidated Statements of Operations in which the hedged items are recorded in the same period the hedged items affect earnings.</w:t>
      </w:r>
    </w:p>
    <w:p>
      <w:pPr>
        <w:spacing w:after="0" w:line="192"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years ended December 31, 2022, 2021 or 2020.</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29.2 million pounds and 7.9 million pounds as of December 31, 2022 and 2021, respectively. During the years ended December 31, 2022 and 2021, the Company purchased coffee futures contracts and coffee options contracts under our cash flow hedging program with aggregate notional amount of 98.6 million pounds and 105.5 million pounds, respectively.</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Approximately $13.1 million, $7.2 million and $1.7 million of net realized gains, representing the effective portion of the cash-flow hedge, were subsequently reclassified from AOCI to earnings and recognized in cost of sales in the Consolidated Statements of Operations for the years ended December 31, 2022, 2021 and 2020, respectively. As of December 31, 2022, the estimated amount of net gains reported in AOCI that is expected to be reclassified to the Consolidated Statements of Operations within the next twelve months is $12.3 million.</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Consolidated Balance Sheets are set forth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8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5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 flow</w:t>
            </w:r>
          </w:p>
        </w:tc>
        <w:tc>
          <w:tcPr>
            <w:tcW w:w="2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5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5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4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as cash flow</w:t>
            </w: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Derivative liabilities</w:t>
            </w:r>
          </w:p>
        </w:tc>
        <w:tc>
          <w:tcPr>
            <w:tcW w:w="5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5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Derivative liabilities</w:t>
            </w:r>
          </w:p>
        </w:tc>
        <w:tc>
          <w:tcPr>
            <w:tcW w:w="5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5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4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purchase contracts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8"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Westrock Public Warrants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Westrock</w:t>
            </w:r>
          </w:p>
        </w:tc>
      </w:tr>
      <w:tr>
        <w:trPr>
          <w:trHeight w:val="17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209"/>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Assumption of warrants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r>
      <w:tr>
        <w:trPr>
          <w:trHeight w:val="21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560"/>
        </w:trPr>
        <w:tc>
          <w:tcPr>
            <w:tcW w:w="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187"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Westrock Public Warrants are valued based on their quoted market price of $2.27 per warrant as of December 31, 2022. Westrock Private Warrants price of $3.83 per warrant are valued using a binomial lattice valuation model, which is considered to be a Level 3 fair value measurement. The primary unobservable inputs were as follows: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6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and long-term debt. The carrying amount of cash, accounts receivable and accounts payable was estimated by management to approximate fair value due to the relatively short period of time to maturity for those instruments. On August 29, 2022, the Company entered into the Credit Agreement, which includes the Term Loan Facility and the Revolving Credit Facility. The Term Loan Facility and the Revolving Credit Facility are carried on the Consolidated Balance Sheets at amortized cost and are estimated by management to approximate fair value as of December 31, 2022. In November 2021, we amended our Prior Term Loan Agreement and our Prior ABL Credit Agreement, which comprised our material long-term debt obligations at December 31, 2021. As there was no re-pricing of those obligations in connection with the amendments, the carrying amount of these obligations was estimated by management to approximate fair value as of December 31, 2021. The Prior Term Loan Facility and the Prior ABL Facility were carried on the Consolidated Balance Sheets at amortized cost. The fair value of the Term Loan Facility, Revolving Credit Facility, Prior Term Loan Facility and the Prior ABL Facility was determined based on Level 2 inputs under the fair value hierarchy</w:t>
      </w:r>
    </w:p>
    <w:p>
      <w:pPr>
        <w:spacing w:after="0" w:line="190"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years ended December 31, 2022 and 2021, requiring these non-financial assets and liabilities to be subsequently recognized at fair value. During the year ended December 31, 2020, we determined that goodwill and certain intangible assets required subsequent recognition at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fair value (see Note 3). The fair value of goodwill and certain intangible assets was determined based on Level 3 inputs under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Equity-Based Compensation</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has implemented equity compensation programs, which are designed to attract and retain key employees while also aligning employees’ interests with the interests of our shareholders.</w:t>
      </w:r>
    </w:p>
    <w:p>
      <w:pPr>
        <w:spacing w:after="0" w:line="16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Compensation expense for all equity-based compensation awards is based on the grant date fair value estimate. As equity-based compensation expense recognized is based on awards ultimately expected to vest, such expense is reduced for forfeitures estimated at the date of grant based on our historical experience and future expectations. Income tax benefits related to the tax deductions for share-based awards are recognized only upon settlement of the related share-based awards.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August 2022, in connection with the Transaction, unit option awards issued under the Company’s 2020 Unit Option Incentive Plan, as amended (the “2020 Plan”), were equitably converted in accordance with the terms of the 2020 Plan and the Transaction Agreement. Each outstanding option to purchase units of Westrock Coffee Holdings, LLC, whether vested or unvested, was converted into an option to purchase Common Shares based on an exchange ratio (the “Exchange Ratio”) defined in the Transaction Agreement. The per unit exercise price of unit options was converted to a per share exercise price based on the Exchange Ratio, and with respect to performance-based options, such options converted into performance-based options to purchase Common Shares that vest once the simple average of the daily volume weighted average price per share of Common Shares for 10 trading days in any consecutive 30-day period is $18.50 per share. These changes were deemed to be Type I modifications under ASC 718, Compensation – Stock Compensation; however, these modifications did not result in any additional compensation expense to be recognized by the Company. As of August 26, 2022, the effective date of the Company’s 2022 Equity Incentive Plan (the “2022 Plan”), no additional awards will be granted under the 2020 Plan.</w:t>
      </w:r>
    </w:p>
    <w:p>
      <w:pPr>
        <w:spacing w:after="0" w:line="19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fair value of the Westrock common units underlying the options granted under the 2020 Option Plan had been determined by the Westrock board of directors, with input from management and corroboration from contemporaneous, independent third-party valuations. Given the absence of a public trading market for the Westrock common units when the options were granted under the 2020 Option Plan, and in accordance with the American Institute of Certified Public Accountants Accounting and Valuation Guide: Valuation of Privately Held Company Equity Securities Issued as Compensation (the “AICPA Practice Guide”), the Westrock board exercised reasonable judgement and considered a number of objective and subjective factors to determine the best estimate of the fair value of the Westrock common units at each grant date, including obtaining independent third-party valuations.</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Independent third-party valuations that we utilized to estimate the fair value of the Westrock common units underlying the unit options under the 2020 Option Plan included a combination of an income approach, based on the present value of estimated future cash flows, and a market approach based on market data of comparable businesses and acquisition multiples paid in recent transactions. The discounted cash flow model reflected our assumptions regarding revenue growth rates, cost structure, economic and market trends, and other expectations around the anticipated operating results of our business. We discounted the estimated cash flows for the entity using rates that represented a market participant’s weighted average cost of capital commensurate with the underlying business operations. The market approach developed an indication of fair value by calculating average market pricing multiples of revenues and EBITDA for selected peer publicly traded companies, as well as multiples for relevant transactions that have taken place. We evaluated the weighting applied to each valuation methodology in the determination of the concluded fair value.</w:t>
      </w:r>
    </w:p>
    <w:p>
      <w:pPr>
        <w:spacing w:after="0" w:line="19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granted 0.3 million options to employees. One-half of the options granted vest over four years of continuous service by the employee, and one-half of the options vest once the simple average of the daily volume weighted average price per share of Common Shares for 10 trading days in any consecutive 30-day period is $18.50 per share (“Performance Options”), provided that the recipient is either still working for the Company at the date of such realization event or that the performance goals are achieved within one year following a qualified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termination of the recipient’s employment. All option grants have an exercise price of $9.54 and generally have a ten-year term prior to expiration. The fair value of the option grants is amortized to expense over the vesting period, which is generally four years.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recognizes expense related to the options using graded vesting attribution and recognized approximately $0.6 million, $0.5 million and $0.4 million of expense for the years ended December 31, 2022, 2021 and 2020, respectively, which is included in selling, general and administrative expense on our Consolidated Statements of Operations. The total compensation cost of unvested options, not yet recognized, is approximately $0.3 million, which is to be recognized over the next four years.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3"/>
                <w:szCs w:val="13"/>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Life</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 years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274,868</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(218,246)</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(39,344)</w:t>
            </w:r>
          </w:p>
        </w:tc>
        <w:tc>
          <w:tcPr>
            <w:tcW w:w="3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3,217,349</w:t>
            </w:r>
          </w:p>
        </w:tc>
        <w:tc>
          <w:tcPr>
            <w:tcW w:w="3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 years</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605,246</w:t>
            </w:r>
          </w:p>
        </w:tc>
        <w:tc>
          <w:tcPr>
            <w:tcW w:w="3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 years</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aggregate intrinsic value of outstanding options was $12.3 million at December 31,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2020, the Company granted restricted Common Units to three key executives. In August 2022, in connection with the Transaction, each restricted Common Unit was converted into 0.1049203474320 restricted Common Shares (“RCSs”). Such RCSs carry the same rights and limitations as the Common Shares under the organizational documents of the Company, except that the RCSs are subject to vesting and forfeiture. The RCSs vest in three installments on each anniversary of the grant date. RCS expense is based on the fair value of the common units on the date of grant and is amortized over the vesting period, which is generally three years. The value of the RCSs was calculated using a combination of historic equity and implied asset volatility of 40%, a risk-free rate of 1.14%, and a marketability discount of 30%.</w:t>
      </w:r>
    </w:p>
    <w:p>
      <w:pPr>
        <w:spacing w:after="0" w:line="192"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The Company recognized approximately $0.3 million, $0.8 million and $1.2 million in expense for the RCSs in the years ended December 31, 2022, 2021 and 2020, respectively, which is included in selling, general and administrative expense on our Consolidated Statements of Operations. Total compensation expense of unvested RCSs not yet recognized is less than $0.1 million and will be recognized by February 28, 2023.</w:t>
      </w:r>
    </w:p>
    <w:p>
      <w:pPr>
        <w:spacing w:after="0" w:line="180"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475,032 RCSs vested, resulting in the issuance of approximately 330,000 Common Shares. As of December 31, 2022, 475,032 RCSs remained outstanding.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2022, the Company granted 1.1 million restricted stock units (“RSUs”) in accordance with the terms of the 2022 Plan. The RSUs had a grant date fair value of $13.1 million, which was calculated using the closing price of the Company’s Common Shares on the applicable date of grant. The RSUs are amortized on a straight-line basis to expense over the vesting period, which is generally three years. The Company recognized approximately $1.7 million in expense for the RSUs in the year ended December 31, 2022, which is included in selling, general and administrative expense on our Consolidated Statements of Operations. As of December 31, 2022, there were 3.4 million shares available for future issuance under the 2022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5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RSUs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534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1,145,000</w:t>
            </w:r>
          </w:p>
        </w:tc>
        <w:tc>
          <w:tcPr>
            <w:tcW w:w="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6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aggregate intrinsic value of outstanding RSUs was approximately $15.1 million on December 31,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 (Loss)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all changes in equity during the period, except those resulting from transactions with our shareholders. Comprehensive income (loss) is comprised of net earnings and other comprehensive income (loss). Accumulated other comprehensive income (loss) reported on our consolidated balance sheets consists of foreign currency translation adjustments and other items and the unrealized gains and losses, net of applicable taxes, on derivative instruments that have been designated and qualify as cash flow hedges.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is as follows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r>
      <w:tr>
        <w:trPr>
          <w:trHeight w:val="16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 changes in fair value gain (loss):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1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and international components of income (loss) before income taxes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0"/>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(147,196)</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(24,676)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(146,410)</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expense (benefit)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expense (benefit)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income tax expense (benefit) to the federal statutory rate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at US statutory income tax rate</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expense (benefit), net of federal benefit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Global intangible low-taxed income ("GILTI") inclusion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 on C Corp conversion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foreign tax rates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were recognized on temporary differences between the financial and tax basis of existing assets and liabilities as follows: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and reserves</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limitation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expenses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0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(29,221)</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w:t>
            </w: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establish a valuation allowance to reduce deferred tax assets if, based on the weight of the available evidence, both positive and negative, for each respective tax jurisdiction, it is more likely than not that some portion or all of the deferred tax assets will not be realized. A valuation allowance related to domestic deferred tax assets of $6.9 million was recorded, of which $5.5 million was against a portion of the Company’s Section 163(j) interest limitation carryforward, and the remainder was against certain state net operating losses as of December 31, 2022. There was no such valuation allowance against domestic deferred tax assets as of December 31, 2021. A valuation allowance related to foreign deferred tax assets of $1.6 million and $1.1 million was recorded against certain foreign net operating losses as of December 31, 2022 and 2021, respectively. The amount of deferred tax assets considered realizable could be adjusted in the near term, resulting in an increase to the valuation allowance, if estimates of future taxable income during the carryforward period are reduced.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valuation allowance is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0"/>
        </w:trPr>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approximately $42.9 million which do not expire. As of December 31, 2022, the Company had post-apportionment state net operating loss carryforwards of approximately $38.5 million which begin to expire in 2031. As of December 31, 2022, the Company had foreign net operating loss carryforwards of approximately $5.9 million which begin to expire in 2026.</w:t>
      </w:r>
    </w:p>
    <w:p>
      <w:pPr>
        <w:spacing w:after="0" w:line="180"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Company’s reserve for uncertain tax positions was $0.1 million and includes potential interest and penalties, which are recorded as a component of income tax expense (benefit). The Company does not expect any significant changes to unrecognized tax benefits within the next twelve months.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U.S. Tax Cuts and Jobs Act of 2017, or the Tax Act, our accumulated foreign earnings have been subjected to U.S. tax. Moreover, all future foreign earnings will be subject to a new territorial tax system and dividends received deduction regime in the U.S. As of December 31, 2022, undistributed earnings of certain foreign subsidiaries of approximately $8.9 million are intended to be permanently reinvested outside the U.S. Accordingly, no provision for foreign withholding tax or state income taxes associated with a distribution of these earnings has been made. Determination of the amount of the unrecognized deferred tax liability on these unremitted earnings is not practicable.</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including the United Kingdom. As of December 31, 2022, we have no tax years under examination by the IRS, and there are currently no state or foreign income tax examinations in process. The Company is subject to United States federal income tax examinations for years after 2018 and to state and foreign income tax examinations for years after 2017.</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Prior to the Conversion, the Company’s ownership interests consisted of two classes of equity units, referred to as Common Units and Common Equivalent Preferred Units (“CEP Units”), which have been retroactively adjusted as shares reflecting the conversion ratios discussed in Note 4.</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Prior to the Conversion, the dilutive effect of CEP Units was calculated by using the “if-converted” method. This assumed an add-back of dividends on the CEP Units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dilutive effect of Westrock Series A Preferred Shares is calculated using the if-converted method, which assumes that add-back any accretion on preferred shares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spacing w:after="0" w:line="180"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because their inclusion would have an anti-dilutive effect due to our reported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9"/>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34"/>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If-converted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r>
      <w:tr>
        <w:trPr>
          <w:trHeight w:val="63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560"/>
        </w:trPr>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shareholders - basic</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(147,684)</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Effect of non-participating securities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 diluted</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Impact of if-converted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other dilutive securities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Dilutive loss per common share</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two operating segments are evaluated using Adjusted EBITDA as a segment operating metric. Management evaluates the performance of each segment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spacing w:after="0" w:line="200" w:lineRule="exact"/>
        <w:rPr>
          <w:sz w:val="20"/>
          <w:szCs w:val="20"/>
          <w:color w:val="auto"/>
        </w:rPr>
      </w:pPr>
    </w:p>
    <w:p>
      <w:pPr>
        <w:spacing w:after="0" w:line="20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(25,010)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746,213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Total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170,035</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(22,904)</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Total of</w:t>
            </w:r>
          </w:p>
        </w:tc>
      </w:tr>
      <w:tr>
        <w:trPr>
          <w:trHeight w:val="176"/>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20" w:type="dxa"/>
            <w:vAlign w:val="bottom"/>
          </w:tcPr>
          <w:p>
            <w:pPr>
              <w:spacing w:after="0"/>
              <w:rPr>
                <w:sz w:val="15"/>
                <w:szCs w:val="15"/>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Reportable</w:t>
            </w:r>
          </w:p>
        </w:tc>
      </w:tr>
      <w:tr>
        <w:trPr>
          <w:trHeight w:val="17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550,846</w:t>
            </w: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33,595</w:t>
            </w: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r>
      <w:tr>
        <w:trPr>
          <w:trHeight w:val="216"/>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r>
      <w:tr>
        <w:trPr>
          <w:trHeight w:val="216"/>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restructuring and integration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w:t>
            </w: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16"/>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82,083</w:t>
            </w:r>
          </w:p>
        </w:tc>
      </w:tr>
      <w:tr>
        <w:trPr>
          <w:trHeight w:val="216"/>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 write-offs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198"/>
        </w:trPr>
        <w:tc>
          <w:tcPr>
            <w:tcW w:w="43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16"/>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r>
      <w:tr>
        <w:trPr>
          <w:trHeight w:val="25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(128,865)</w:t>
            </w:r>
          </w:p>
        </w:tc>
      </w:tr>
      <w:tr>
        <w:trPr>
          <w:trHeight w:val="197"/>
        </w:trPr>
        <w:tc>
          <w:tcPr>
            <w:tcW w:w="4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548,140</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100% of our long-lived assets were located in the United States as of December 31, 2022.</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Commitments and Contingencies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$184.2 million as of December 31, 2022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In addition, at December 31, 2022 we had an obligation to repurchase $14.6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Consolidated Balance Sheet.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22. Related Party Transactions</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transacts with certain entities or persons that have ownership in the Company, and/or for which our co-founder and Chief Executive Officer Scott Ford, our co-founder and Chairman, Joe Ford, or close family members of the Fords, have ownership interests in. As such, these persons and entities are deemed related parties.</w:t>
      </w:r>
    </w:p>
    <w:p>
      <w:pPr>
        <w:spacing w:after="0" w:line="1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S&amp;D on February 28, 2020, certain affiliates of BBH were issued CEP Units, at which time BBH became a related party.</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reflect the following transactions with related parties: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related party debt:</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Brown Brothers Harriman</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Subordinated related party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Wooster Capital</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Jo Ellen Ford</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Brown Brothers Harriman</w:t>
            </w:r>
            <w:r>
              <w:rPr>
                <w:rFonts w:ascii="Times New Roman" w:cs="Times New Roman" w:eastAsia="Times New Roman" w:hAnsi="Times New Roman"/>
                <w:sz w:val="25"/>
                <w:szCs w:val="25"/>
                <w:color w:val="auto"/>
                <w:vertAlign w:val="superscript"/>
              </w:rPr>
              <w:t>(1)</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8"/>
                <w:szCs w:val="18"/>
                <w:color w:val="auto"/>
              </w:rPr>
            </w:pPr>
          </w:p>
        </w:tc>
        <w:tc>
          <w:tcPr>
            <w:tcW w:w="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Wooster Capital</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Jo Ellen Ford</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Westrock Finance, LLC</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 Related through common ownership.</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2 – Related through common ownership and management.</w:t>
      </w:r>
    </w:p>
    <w:p>
      <w:pPr>
        <w:spacing w:after="0" w:line="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S&amp;D in February 2020, the Company entered into a Management Services Agreement with Westrock Group, LLC (“Westrock Group”), which expired February 2023. Under the terms of the agreement, Westrock Group will be paid $10.0 million in return for financial, managerial, operational, and strategic services. The associated expense is recorded within selling, general and administrative expense in our Consolidated Statements of Operations. During each year ended December 31, 2022, 2021 and 2020, the Company recognized $3.3 million, $3.3 million and $2.8 million, respectively, of such expenses. In addition, the Company reimburses Westrock Group for the usage of a corporate aircraft, and its portion of shared office space. For the years ended December 31, 2022, 2021 and 2020, the Company incurred expenses of $0.9 million, $0.8 million and $1.5 million, respectively, for such items, which are recorded in selling, general and administrative expenses on our Consolidated Statements of Operations. At December 31, 2022, we had no amounts payable to Westrock Group.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“Amendment”) to its Credit Agreement, which establishes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3"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Annual Report on Form 10-K, no borrowings have been made under the Delayed Draw Term Loan Facility.</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Bixby Roasting Co. (“Bixby”), a specialty-grade roaster that is a leader in the emerging influencer-led brand space. The acquisition allows Westrock to continue to expand its product marketing and development resources as it capitalizes on shifting consumer consumption trends. The acquisiton includes Bixby’s roasting facility in Los Angeles, California. Aggregate consideration paid for Bixby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included 39,778 shares of common stock of the Company, par value $0.01 per share, and approximately $2.2 million in cash, subject to customary adjustments.</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Due to the timing of the acquisition, the initial accounting for the acquisition is incomplete. As such, we are not able to disclose certain information relating to the acquisition, including the preliminary fair value of assets acquired and liabilities assumed.</w:t>
      </w:r>
    </w:p>
    <w:p>
      <w:pPr>
        <w:spacing w:after="0" w:line="1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21, 2023, the Company entered into a $70 million working capital trade finance facility with multiple financial institutions through its subsidiary, Falcon. The facility replaces Falcon’s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i) Term SOFR plus a margin of 4.00% plus a liquidity premium set by the lender at the time of borrowing or ii) the Base Rate (determined by reference to the greatest of i) the Prime Rate at such time, ii) ½ of</w:t>
      </w:r>
    </w:p>
    <w:p>
      <w:pPr>
        <w:spacing w:after="0" w:line="5"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1% in excess of the Federal Funds Effective Rate at such time, and iii) Term SOFR for a one-month tenor in effect at such time plus 1%.</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the Company’s independent registered public accounting firm due to a transition period established by rules of the Securities and Exchange Commission for newly public companies.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2022, the end of the period covered by this Annual Report. Based on this evaluation, our Principal Executive Officer and Principal Financial Officer concluded that our disclosure controls and procedures were not effective as of December 31, 2022 due to the material weaknesses in our internal control over financial reporting, described below.</w:t>
      </w:r>
    </w:p>
    <w:p>
      <w:pPr>
        <w:spacing w:after="0" w:line="183"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However, after giving full consideration to the material weaknesses, management believes that our consolidated financial statements included in this Annual Report on Form 10-K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sz w:val="20"/>
          <w:szCs w:val="20"/>
          <w:color w:val="auto"/>
        </w:rPr>
      </w:pPr>
    </w:p>
    <w:p>
      <w:pPr>
        <w:spacing w:after="0" w:line="40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December 31, 2022.</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 property, plant and equipment; other (income) expense, net; accounts receivable, net, inventories; derivative assets, net; prepaid expenses and other current assets; property, plant, and equipment, net; goodwill; intangible assets, net; other longterm assets; accounts payable; accrued expenses and other current liabilities and the cash flow presentation of debt payments and proceeds within financing activities within the consolidated financial statements as of and for the year ended December 31, 2020.</w:t>
      </w:r>
    </w:p>
    <w:p>
      <w:pPr>
        <w:spacing w:after="0" w:line="192" w:lineRule="exact"/>
        <w:rPr>
          <w:sz w:val="20"/>
          <w:szCs w:val="20"/>
          <w:color w:val="auto"/>
        </w:rPr>
      </w:pPr>
    </w:p>
    <w:p>
      <w:pPr>
        <w:ind w:left="720" w:right="13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p>
      <w:pPr>
        <w:spacing w:after="0" w:line="193"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Plans</w:t>
      </w:r>
    </w:p>
    <w:p>
      <w:pPr>
        <w:spacing w:after="0" w:line="22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Westrock has taken and is taking certain measures to remediate the material weaknesses described above, including the following: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and IT personnel, including a new chief accounting officer hired in May 2021 and a new technical accounting resource hired in April 2022, with the appropriate level of knowledge, training, and experience to improve our internal control over financial reporting and IT capabilities.</w:t>
      </w:r>
    </w:p>
    <w:p>
      <w:pPr>
        <w:spacing w:after="0" w:line="175" w:lineRule="exact"/>
        <w:rPr>
          <w:rFonts w:ascii="Times New Roman" w:cs="Times New Roman" w:eastAsia="Times New Roman" w:hAnsi="Times New Roman"/>
          <w:sz w:val="18"/>
          <w:szCs w:val="18"/>
          <w:color w:val="auto"/>
        </w:rPr>
      </w:pPr>
    </w:p>
    <w:p>
      <w:pPr>
        <w:jc w:val="both"/>
        <w:ind w:left="720" w:right="2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formalizing a risk assessment process across the organization to identify risks and design new controls or enhance existing controls responsive to such risks to ensure timely and accurate financial reporting.</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period-end financial reporting, segregation of duties and IT general controls.</w:t>
      </w:r>
    </w:p>
    <w:p>
      <w:pPr>
        <w:spacing w:after="0" w:line="161" w:lineRule="exact"/>
        <w:rPr>
          <w:rFonts w:ascii="Times New Roman" w:cs="Times New Roman" w:eastAsia="Times New Roman" w:hAnsi="Times New Roman"/>
          <w:sz w:val="18"/>
          <w:szCs w:val="18"/>
          <w:color w:val="auto"/>
        </w:rPr>
      </w:pPr>
    </w:p>
    <w:p>
      <w:pPr>
        <w:ind w:left="720" w:right="499" w:hanging="319"/>
        <w:spacing w:after="0" w:line="312" w:lineRule="auto"/>
        <w:tabs>
          <w:tab w:leader="none" w:pos="7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to formalize roles and review responsibilities to align with Westrock’s team’s skills and experience and designing and implementing controls over segregation of duties.</w:t>
      </w:r>
    </w:p>
    <w:p>
      <w:pPr>
        <w:spacing w:after="0" w:line="139" w:lineRule="exact"/>
        <w:rPr>
          <w:rFonts w:ascii="Times New Roman" w:cs="Times New Roman" w:eastAsia="Times New Roman" w:hAnsi="Times New Roman"/>
          <w:sz w:val="17"/>
          <w:szCs w:val="17"/>
          <w:color w:val="auto"/>
        </w:rPr>
      </w:pPr>
    </w:p>
    <w:p>
      <w:pPr>
        <w:ind w:left="720" w:right="43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formal accounting procedures and controls supporting Westrock’s period-end financial reporting process, including controls over the preparation and review of account reconciliations and journal entries.</w:t>
      </w:r>
    </w:p>
    <w:p>
      <w:pPr>
        <w:spacing w:after="0" w:line="175" w:lineRule="exact"/>
        <w:rPr>
          <w:rFonts w:ascii="Times New Roman" w:cs="Times New Roman" w:eastAsia="Times New Roman" w:hAnsi="Times New Roman"/>
          <w:sz w:val="18"/>
          <w:szCs w:val="18"/>
          <w:color w:val="auto"/>
        </w:rPr>
      </w:pPr>
    </w:p>
    <w:p>
      <w:pPr>
        <w:ind w:left="720" w:right="139" w:hanging="319"/>
        <w:spacing w:after="0" w:line="274" w:lineRule="auto"/>
        <w:tabs>
          <w:tab w:leader="none" w:pos="7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p>
      <w:pPr>
        <w:spacing w:after="0" w:line="172" w:lineRule="exact"/>
        <w:rPr>
          <w:rFonts w:ascii="Times New Roman" w:cs="Times New Roman" w:eastAsia="Times New Roman" w:hAnsi="Times New Roman"/>
          <w:sz w:val="17"/>
          <w:szCs w:val="17"/>
          <w:color w:val="auto"/>
        </w:rPr>
      </w:pPr>
    </w:p>
    <w:p>
      <w:pPr>
        <w:ind w:left="720" w:right="17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IT general controls, including controls over change management, the review and update of user access rights and privileges, controls over batch jobs and data backups, and program development approvals and testing.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previously disclosed, we identified a material weakness in our internal control over financial reporting related to the identification of and accounting for certain non-routine, unusual or complex transactions, including the proper application of U.S. GAAP to such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remediate the material weakness, management has taken certain measures including the following:</w:t>
      </w:r>
    </w:p>
    <w:p>
      <w:pPr>
        <w:spacing w:after="0" w:line="225" w:lineRule="exact"/>
        <w:rPr>
          <w:sz w:val="20"/>
          <w:szCs w:val="20"/>
          <w:color w:val="auto"/>
        </w:rPr>
      </w:pPr>
    </w:p>
    <w:p>
      <w:pPr>
        <w:ind w:left="720" w:right="3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personnel, including a new chief accounting officer hired in May 2021 and a new technical accounting resource hired in April 2022, with the appropriate level of knowledge, training, and experience to improve our internal control over financial reporting capabilities.</w:t>
      </w:r>
    </w:p>
    <w:p>
      <w:pPr>
        <w:spacing w:after="0" w:line="175"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and third quarter of 2022, designed and implemented controls to identify non-routine, unusual or complex transactions and required that the accounting implications of such transactions are formally assessed, documented and reviewed by a relevant senior member of our accounting team in a timely manner. In addition, we have engaged third party subject matter experts to advise us with respect to certain complex non-routine transactions in addition to management’s review of such transactions, where appropriate.</w:t>
      </w:r>
    </w:p>
    <w:p>
      <w:pPr>
        <w:spacing w:after="0" w:line="251"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management successfully completed the testing necessary to conclude that the re-designed and enhanced controls were appropriately designed, implemented and operating effectively as of December 31, 2022 and concluded that the material weakness related to accounting for certain non-routine, unusual or complex transactions has been remediated.</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that occurred during the quarter ended December 31, 2022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right="31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2023 annual meeting of stockholders (our “Proxy Statement”), which we expect to be filed with the SEC no later than 120 days after December 31, 2022, pursuant to Regulation 14A under the Exchange Act.</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or “Code of Ethics,” which apply to all of our directors, officers and employees, including our principal executive officer, principal financial officer, principal accounting officer and persons performing similar functions. The board of directors also adopted the Westrock Coffee Company Supplemental Code of Ethics for Chief Executive Officer and Senior Financial Officers (the “Supplemental Code of Ethics”). The Supplemental Code of Ethics applies to the Company’s chief executive officer, president, if any, chief financial officer and principal accounting officer. The Code of Ethics and Supplemental Code of Ethics are available on our website at www.investors.westrockcoffee.com. If we amend or grant any waiver from a provision of our Code of Ethics that applies to any of our executive officers or Supplemental Code of Ethics, we will publicly disclose such amendment or waiver as required by applicable law.</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Related Stockholder Matters</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Except as set forth below, information required to be set forth herein is incorporated by reference, when filed, from our Proxy Statement.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common stock that may be issued under our existing equity compensation plans as of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40" w:type="dxa"/>
            <w:vAlign w:val="bottom"/>
          </w:tcPr>
          <w:p>
            <w:pPr>
              <w:spacing w:after="0"/>
              <w:rPr>
                <w:sz w:val="17"/>
                <w:szCs w:val="17"/>
                <w:color w:val="auto"/>
              </w:rPr>
            </w:pPr>
          </w:p>
        </w:tc>
        <w:tc>
          <w:tcPr>
            <w:tcW w:w="130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7"/>
                <w:szCs w:val="17"/>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5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 (excluding</w:t>
            </w:r>
          </w:p>
        </w:tc>
        <w:tc>
          <w:tcPr>
            <w:tcW w:w="0" w:type="dxa"/>
            <w:vAlign w:val="bottom"/>
          </w:tcPr>
          <w:p>
            <w:pPr>
              <w:spacing w:after="0"/>
              <w:rPr>
                <w:sz w:val="1"/>
                <w:szCs w:val="1"/>
                <w:color w:val="auto"/>
              </w:rPr>
            </w:pPr>
          </w:p>
        </w:tc>
      </w:tr>
      <w:tr>
        <w:trPr>
          <w:trHeight w:val="146"/>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5"/>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4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500" w:type="dxa"/>
            <w:vAlign w:val="bottom"/>
            <w:gridSpan w:val="5"/>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5"/>
        </w:trPr>
        <w:tc>
          <w:tcPr>
            <w:tcW w:w="4320" w:type="dxa"/>
            <w:vAlign w:val="bottom"/>
            <w:gridSpan w:val="2"/>
            <w:vMerge w:val="continue"/>
          </w:tcPr>
          <w:p>
            <w:pPr>
              <w:spacing w:after="0"/>
              <w:rPr>
                <w:sz w:val="15"/>
                <w:szCs w:val="15"/>
                <w:color w:val="auto"/>
              </w:rPr>
            </w:pPr>
          </w:p>
        </w:tc>
        <w:tc>
          <w:tcPr>
            <w:tcW w:w="1500" w:type="dxa"/>
            <w:vAlign w:val="bottom"/>
            <w:gridSpan w:val="5"/>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0"/>
                <w:szCs w:val="20"/>
                <w:b w:val="1"/>
                <w:bCs w:val="1"/>
                <w:color w:val="auto"/>
                <w:w w:val="99"/>
                <w:vertAlign w:val="superscript"/>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28"/>
        </w:trPr>
        <w:tc>
          <w:tcPr>
            <w:tcW w:w="4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w w:val="89"/>
              </w:rPr>
              <w:t>(a)</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right"/>
              <w:ind w:right="470"/>
              <w:spacing w:after="0" w:line="129" w:lineRule="exact"/>
              <w:rPr>
                <w:sz w:val="20"/>
                <w:szCs w:val="20"/>
                <w:color w:val="auto"/>
              </w:rPr>
            </w:pPr>
            <w:r>
              <w:rPr>
                <w:rFonts w:ascii="Times New Roman" w:cs="Times New Roman" w:eastAsia="Times New Roman" w:hAnsi="Times New Roman"/>
                <w:sz w:val="14"/>
                <w:szCs w:val="14"/>
                <w:color w:val="auto"/>
              </w:rPr>
              <w:t>(b)</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430"/>
              <w:spacing w:after="0" w:line="129" w:lineRule="exact"/>
              <w:rPr>
                <w:sz w:val="20"/>
                <w:szCs w:val="20"/>
                <w:color w:val="auto"/>
              </w:rPr>
            </w:pPr>
            <w:r>
              <w:rPr>
                <w:rFonts w:ascii="Times New Roman" w:cs="Times New Roman" w:eastAsia="Times New Roman" w:hAnsi="Times New Roman"/>
                <w:sz w:val="14"/>
                <w:szCs w:val="14"/>
                <w:color w:val="auto"/>
                <w:w w:val="89"/>
              </w:rPr>
              <w:t>(c)</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640" w:type="dxa"/>
            <w:vAlign w:val="bottom"/>
            <w:gridSpan w:val="6"/>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3,447,765 </w:t>
            </w:r>
            <w:r>
              <w:rPr>
                <w:rFonts w:ascii="Times New Roman" w:cs="Times New Roman" w:eastAsia="Times New Roman" w:hAnsi="Times New Roman"/>
                <w:sz w:val="25"/>
                <w:szCs w:val="25"/>
                <w:color w:val="auto"/>
                <w:vertAlign w:val="subscript"/>
              </w:rPr>
              <w:t>(3)</w:t>
            </w: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3,447,765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319" w:hanging="190"/>
        <w:spacing w:after="0" w:line="232" w:lineRule="auto"/>
        <w:tabs>
          <w:tab w:leader="none" w:pos="237"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amount represents the number of shares of common stock underlying (i) stock options granted under the 2020 Plan (605,246) and (ii) RSUs granted under the 2022 Plan (1,127,000).</w:t>
      </w:r>
    </w:p>
    <w:p>
      <w:pPr>
        <w:spacing w:after="0" w:line="7" w:lineRule="exact"/>
        <w:rPr>
          <w:rFonts w:ascii="Times New Roman" w:cs="Times New Roman" w:eastAsia="Times New Roman" w:hAnsi="Times New Roman"/>
          <w:sz w:val="23"/>
          <w:szCs w:val="23"/>
          <w:color w:val="auto"/>
          <w:vertAlign w:val="superscript"/>
        </w:rPr>
      </w:pPr>
    </w:p>
    <w:p>
      <w:pPr>
        <w:ind w:left="240" w:right="579" w:hanging="190"/>
        <w:spacing w:after="0" w:line="215" w:lineRule="auto"/>
        <w:tabs>
          <w:tab w:leader="none" w:pos="248"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weighted average exercise price set forth in this column is calculated excluding outstanding RSUs since recipients are not required to pay an exercise price to receive the shares subject to such awards.</w:t>
      </w:r>
    </w:p>
    <w:p>
      <w:pPr>
        <w:ind w:left="260" w:hanging="210"/>
        <w:spacing w:after="0" w:line="180" w:lineRule="auto"/>
        <w:tabs>
          <w:tab w:leader="none" w:pos="2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Shares of common stock remaining available for grant under the 2022 Plan, excluding shares underlying awards reflected in column</w:t>
      </w:r>
    </w:p>
    <w:p>
      <w:pPr>
        <w:spacing w:after="0" w:line="10" w:lineRule="exact"/>
        <w:rPr>
          <w:rFonts w:ascii="Times New Roman" w:cs="Times New Roman" w:eastAsia="Times New Roman" w:hAnsi="Times New Roman"/>
          <w:sz w:val="25"/>
          <w:szCs w:val="25"/>
          <w:color w:val="auto"/>
          <w:vertAlign w:val="superscript"/>
        </w:rPr>
      </w:pPr>
    </w:p>
    <w:p>
      <w:pPr>
        <w:ind w:left="2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 No further awards may be granted under the 2020 Plan.</w:t>
      </w: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in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noted below, Financial Statement Schedules are omitted because they are not required or are not applicable, or the required information is provided in the consolidated financial statements or related notes in Part II, Item 8 in this Annual Report on Form 10-K.</w:t>
      </w:r>
    </w:p>
    <w:p>
      <w:pPr>
        <w:spacing w:after="0" w:line="1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Schedule I – Condensed Financial Information of the Registrant (Parent Company) as of December 31, 2022 and 2021, and for each of the three years in the period ended December 31, 2022 appearing on pages S-1, S-2, S-3 and S-4 of this report.</w:t>
      </w:r>
    </w:p>
    <w:p>
      <w:pPr>
        <w:spacing w:after="0" w:line="200" w:lineRule="exact"/>
        <w:rPr>
          <w:sz w:val="20"/>
          <w:szCs w:val="20"/>
          <w:color w:val="auto"/>
        </w:rPr>
      </w:pPr>
    </w:p>
    <w:p>
      <w:pPr>
        <w:spacing w:after="0" w:line="37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9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Transaction Agreement, dated as of April 4, 2022,</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by and among Riverview Acquisition Corp.,</w:t>
              </w:r>
            </w:hyperlink>
          </w:p>
        </w:tc>
        <w:tc>
          <w:tcPr>
            <w:tcW w:w="400" w:type="dxa"/>
            <w:vAlign w:val="bottom"/>
            <w:tcBorders>
              <w:top w:val="single" w:sz="8" w:color="0000EE"/>
            </w:tcBorders>
            <w:gridSpan w:val="9"/>
          </w:tcPr>
          <w:p>
            <w:pPr>
              <w:spacing w:after="0"/>
              <w:rPr>
                <w:sz w:val="18"/>
                <w:szCs w:val="18"/>
                <w:color w:val="auto"/>
              </w:rPr>
            </w:pPr>
          </w:p>
        </w:tc>
        <w:tc>
          <w:tcPr>
            <w:tcW w:w="38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Westrock Coffee Holdings, LLC, Origin Merger Sub</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 Inc. and Origin Merger Sub II, LLC</w:t>
              </w:r>
            </w:hyperlink>
          </w:p>
        </w:tc>
        <w:tc>
          <w:tcPr>
            <w:tcW w:w="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Certificate of Incorporation of Westrock Coffee</w:t>
              </w:r>
            </w:hyperlink>
          </w:p>
        </w:tc>
        <w:tc>
          <w:tcPr>
            <w:tcW w:w="540" w:type="dxa"/>
            <w:vAlign w:val="bottom"/>
            <w:gridSpan w:val="14"/>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Company</w:t>
              </w:r>
            </w:hyperlink>
          </w:p>
        </w:tc>
        <w:tc>
          <w:tcPr>
            <w:tcW w:w="3280" w:type="dxa"/>
            <w:vAlign w:val="bottom"/>
            <w:gridSpan w:val="2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Bylaws of Westrock Coffee Company</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Amended and Restated Warrant Agreement by and</w:t>
              </w:r>
            </w:hyperlink>
          </w:p>
        </w:tc>
        <w:tc>
          <w:tcPr>
            <w:tcW w:w="300" w:type="dxa"/>
            <w:vAlign w:val="bottom"/>
            <w:gridSpan w:val="6"/>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among Westrock Coffee Company, Computershare</w:t>
              </w:r>
            </w:hyperlink>
          </w:p>
        </w:tc>
        <w:tc>
          <w:tcPr>
            <w:tcW w:w="3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Inc. and Computershare Trust Company, N.A.</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Specimen Common Stock Certificate of Westrock</w:t>
              </w:r>
            </w:hyperlink>
          </w:p>
        </w:tc>
        <w:tc>
          <w:tcPr>
            <w:tcW w:w="380" w:type="dxa"/>
            <w:vAlign w:val="bottom"/>
            <w:gridSpan w:val="8"/>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Coffee Company</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Specimen Warrant Certificate of Westrock Coffee</w:t>
              </w:r>
            </w:hyperlink>
          </w:p>
        </w:tc>
        <w:tc>
          <w:tcPr>
            <w:tcW w:w="400" w:type="dxa"/>
            <w:vAlign w:val="bottom"/>
            <w:gridSpan w:val="10"/>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Company</w:t>
              </w:r>
            </w:hyperlink>
          </w:p>
        </w:tc>
        <w:tc>
          <w:tcPr>
            <w:tcW w:w="3280" w:type="dxa"/>
            <w:vAlign w:val="bottom"/>
            <w:gridSpan w:val="2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3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Investor Rights Agreement, dated as of April 4,</w:t>
              </w:r>
            </w:hyperlink>
          </w:p>
        </w:tc>
        <w:tc>
          <w:tcPr>
            <w:tcW w:w="560" w:type="dxa"/>
            <w:vAlign w:val="bottom"/>
            <w:gridSpan w:val="15"/>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4.8</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2022, by and among Westrock Coffee Company,</w:t>
              </w:r>
            </w:hyperlink>
          </w:p>
        </w:tc>
        <w:tc>
          <w:tcPr>
            <w:tcW w:w="48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Westrock Group, LLC, The Stephens Group, LLC,</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Sowell Westrock, L.P., BBH Capital Partners V, L.P.,</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BBH Capital Partners V-A, L.P., BBH CPV WCC</w:t>
              </w:r>
            </w:hyperlink>
          </w:p>
        </w:tc>
        <w:tc>
          <w:tcPr>
            <w:tcW w:w="200" w:type="dxa"/>
            <w:vAlign w:val="bottom"/>
            <w:tcBorders>
              <w:top w:val="single" w:sz="8" w:color="0000EE"/>
            </w:tcBorders>
            <w:gridSpan w:val="7"/>
          </w:tcPr>
          <w:p>
            <w:pPr>
              <w:spacing w:after="0"/>
              <w:rPr>
                <w:sz w:val="18"/>
                <w:szCs w:val="18"/>
                <w:color w:val="auto"/>
              </w:rPr>
            </w:pPr>
          </w:p>
        </w:tc>
        <w:tc>
          <w:tcPr>
            <w:tcW w:w="1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Co-Investment LLC and Riverview Sponsor</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130">
              <w:r>
                <w:rPr>
                  <w:rFonts w:ascii="Times New Roman" w:cs="Times New Roman" w:eastAsia="Times New Roman" w:hAnsi="Times New Roman"/>
                  <w:sz w:val="18"/>
                  <w:szCs w:val="18"/>
                  <w:color w:val="0000EE"/>
                  <w:w w:val="97"/>
                </w:rPr>
                <w:t>Partners, LLC</w:t>
              </w:r>
            </w:hyperlink>
          </w:p>
        </w:tc>
        <w:tc>
          <w:tcPr>
            <w:tcW w:w="2160" w:type="dxa"/>
            <w:vAlign w:val="bottom"/>
            <w:tcBorders>
              <w:top w:val="single" w:sz="8" w:color="0000EE"/>
            </w:tcBorders>
            <w:gridSpan w:val="6"/>
          </w:tcPr>
          <w:p>
            <w:pPr>
              <w:spacing w:after="0"/>
              <w:rPr>
                <w:sz w:val="18"/>
                <w:szCs w:val="18"/>
                <w:color w:val="auto"/>
              </w:rPr>
            </w:pPr>
          </w:p>
        </w:tc>
        <w:tc>
          <w:tcPr>
            <w:tcW w:w="80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39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 Registered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under Section 12 of the Securities Exchange Act of</w:t>
            </w:r>
          </w:p>
        </w:tc>
        <w:tc>
          <w:tcPr>
            <w:tcW w:w="2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EE"/>
                <w:w w:val="94"/>
              </w:rPr>
              <w:t>1934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Registration Rights Agreement, dated as of April 4,</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2022, by and among Westrock Coffee Holdings,</w:t>
              </w:r>
            </w:hyperlink>
          </w:p>
        </w:tc>
        <w:tc>
          <w:tcPr>
            <w:tcW w:w="2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LLC and the other parties thereto</w:t>
              </w:r>
            </w:hyperlink>
          </w:p>
        </w:tc>
        <w:tc>
          <w:tcPr>
            <w:tcW w:w="52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3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Sponsor Support Agreement, dated as of April 4,</w:t>
              </w:r>
            </w:hyperlink>
          </w:p>
        </w:tc>
        <w:tc>
          <w:tcPr>
            <w:tcW w:w="460" w:type="dxa"/>
            <w:vAlign w:val="bottom"/>
            <w:gridSpan w:val="11"/>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2022, by and among Westrock Coffee Holdings,</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LLC, Riverview Acquisition Corp., and Riverview</w:t>
              </w:r>
            </w:hyperlink>
          </w:p>
        </w:tc>
        <w:tc>
          <w:tcPr>
            <w:tcW w:w="3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Sponsor Partners, LLC</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gridSpan w:val="2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24"/>
                <w:szCs w:val="24"/>
                <w:color w:val="auto"/>
              </w:rPr>
            </w:pPr>
          </w:p>
        </w:tc>
        <w:tc>
          <w:tcPr>
            <w:tcW w:w="398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Indemnification Agreement</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Credit Agreement, dated as of August 29, 2022,</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borrower, Westrock Coffee Company, Wells Fargo</w:t>
              </w:r>
            </w:hyperlink>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8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Bank, N.A., as administrative agent, collateral agent,</w:t>
              </w:r>
            </w:hyperlink>
          </w:p>
        </w:tc>
        <w:tc>
          <w:tcPr>
            <w:tcW w:w="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and swingline lender, Wells Fargo Securities, LLC,</w:t>
              </w:r>
            </w:hyperlink>
          </w:p>
        </w:tc>
        <w:tc>
          <w:tcPr>
            <w:tcW w:w="2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as sustainability structuring agent, and each issuing</w:t>
              </w:r>
            </w:hyperlink>
          </w:p>
        </w:tc>
        <w:tc>
          <w:tcPr>
            <w:tcW w:w="2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2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bank and lender party thereto.</w:t>
              </w:r>
            </w:hyperlink>
          </w:p>
        </w:tc>
        <w:tc>
          <w:tcPr>
            <w:tcW w:w="1760" w:type="dxa"/>
            <w:vAlign w:val="bottom"/>
            <w:gridSpan w:val="21"/>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6"/>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10.5</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Incremental Assumption Agreement and</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February 14,</w:t>
            </w: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Amendment No. 1, dated as of February 14, 2023,</w:t>
              </w:r>
            </w:hyperlink>
          </w:p>
        </w:tc>
        <w:tc>
          <w:tcPr>
            <w:tcW w:w="30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0"/>
        </w:trPr>
        <w:tc>
          <w:tcPr>
            <w:tcW w:w="740" w:type="dxa"/>
            <w:vAlign w:val="bottom"/>
          </w:tcPr>
          <w:p>
            <w:pPr>
              <w:spacing w:after="0"/>
              <w:rPr>
                <w:sz w:val="18"/>
                <w:szCs w:val="18"/>
                <w:color w:val="auto"/>
              </w:rPr>
            </w:pPr>
          </w:p>
        </w:tc>
        <w:tc>
          <w:tcPr>
            <w:tcW w:w="3920" w:type="dxa"/>
            <w:vAlign w:val="bottom"/>
            <w:gridSpan w:val="2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among Westrock Beverage Solutions, LLC, as</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borrower, Westrock Coffee Copmany, as holdings,</w:t>
              </w:r>
            </w:hyperlink>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920" w:type="dxa"/>
            <w:vAlign w:val="bottom"/>
            <w:gridSpan w:val="2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the other guarantors party thereto, the Amendment</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5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No. 1 delayed draw term loan lenders, the lenders</w:t>
              </w:r>
            </w:hyperlink>
          </w:p>
        </w:tc>
        <w:tc>
          <w:tcPr>
            <w:tcW w:w="60" w:type="dxa"/>
            <w:vAlign w:val="bottom"/>
            <w:tcBorders>
              <w:top w:val="single" w:sz="8" w:color="0000EE"/>
            </w:tcBorders>
            <w:gridSpan w:val="3"/>
          </w:tcPr>
          <w:p>
            <w:pPr>
              <w:spacing w:after="0"/>
              <w:rPr>
                <w:sz w:val="18"/>
                <w:szCs w:val="18"/>
                <w:color w:val="auto"/>
              </w:rPr>
            </w:pPr>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party thereto and Wells Fargo Bank, N.A., as</w:t>
              </w:r>
            </w:hyperlink>
          </w:p>
        </w:tc>
        <w:tc>
          <w:tcPr>
            <w:tcW w:w="68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920" w:type="dxa"/>
            <w:vAlign w:val="bottom"/>
            <w:gridSpan w:val="2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administrative agent.</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26"/>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10.6#</w:t>
            </w:r>
          </w:p>
        </w:tc>
        <w:tc>
          <w:tcPr>
            <w:tcW w:w="3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920" w:type="dxa"/>
            <w:vAlign w:val="bottom"/>
            <w:gridSpan w:val="29"/>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and between Westrock Coffee Company and Scott T.</w:t>
              </w:r>
            </w:hyperlink>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3"/>
              </w:rPr>
            </w:pPr>
            <w:hyperlink r:id="rId137">
              <w:r>
                <w:rPr>
                  <w:rFonts w:ascii="Times New Roman" w:cs="Times New Roman" w:eastAsia="Times New Roman" w:hAnsi="Times New Roman"/>
                  <w:sz w:val="18"/>
                  <w:szCs w:val="18"/>
                  <w:color w:val="0000EE"/>
                  <w:w w:val="93"/>
                </w:rPr>
                <w:t>Ford</w:t>
              </w:r>
            </w:hyperlink>
          </w:p>
        </w:tc>
        <w:tc>
          <w:tcPr>
            <w:tcW w:w="3460" w:type="dxa"/>
            <w:vAlign w:val="bottom"/>
            <w:tcBorders>
              <w:top w:val="single" w:sz="8" w:color="0000EE"/>
            </w:tcBorders>
            <w:gridSpan w:val="24"/>
          </w:tcPr>
          <w:p>
            <w:pPr>
              <w:spacing w:after="0"/>
              <w:rPr>
                <w:sz w:val="18"/>
                <w:szCs w:val="18"/>
                <w:color w:val="auto"/>
              </w:rPr>
            </w:pPr>
          </w:p>
        </w:tc>
        <w:tc>
          <w:tcPr>
            <w:tcW w:w="12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10.7#</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Employment Agreement, dated August 26, 2022, by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4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and between Westrock Coffee Company and T.</w:t>
              </w:r>
            </w:hyperlink>
          </w:p>
        </w:tc>
        <w:tc>
          <w:tcPr>
            <w:tcW w:w="320" w:type="dxa"/>
            <w:vAlign w:val="bottom"/>
            <w:tcBorders>
              <w:top w:val="single" w:sz="8" w:color="0000EE"/>
            </w:tcBorders>
            <w:gridSpan w:val="11"/>
          </w:tcPr>
          <w:p>
            <w:pPr>
              <w:spacing w:after="0"/>
              <w:rPr>
                <w:sz w:val="18"/>
                <w:szCs w:val="18"/>
                <w:color w:val="auto"/>
              </w:rPr>
            </w:pPr>
          </w:p>
        </w:tc>
        <w:tc>
          <w:tcPr>
            <w:tcW w:w="1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Christopher Pledger</w:t>
              </w:r>
            </w:hyperlink>
          </w:p>
        </w:tc>
        <w:tc>
          <w:tcPr>
            <w:tcW w:w="2420" w:type="dxa"/>
            <w:vAlign w:val="bottom"/>
            <w:gridSpan w:val="2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10.8#</w:t>
            </w:r>
          </w:p>
        </w:tc>
        <w:tc>
          <w:tcPr>
            <w:tcW w:w="3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8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and between Westrock Coffee Company and William</w:t>
              </w:r>
            </w:hyperlink>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39">
              <w:r>
                <w:rPr>
                  <w:rFonts w:ascii="Times New Roman" w:cs="Times New Roman" w:eastAsia="Times New Roman" w:hAnsi="Times New Roman"/>
                  <w:sz w:val="18"/>
                  <w:szCs w:val="18"/>
                  <w:color w:val="0000EE"/>
                  <w:w w:val="96"/>
                </w:rPr>
                <w:t>A. Ford</w:t>
              </w:r>
            </w:hyperlink>
          </w:p>
        </w:tc>
        <w:tc>
          <w:tcPr>
            <w:tcW w:w="3360" w:type="dxa"/>
            <w:vAlign w:val="bottom"/>
            <w:gridSpan w:val="26"/>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10.9#</w:t>
            </w:r>
          </w:p>
        </w:tc>
        <w:tc>
          <w:tcPr>
            <w:tcW w:w="39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Employment Agreement, dated August 26, 2022, by</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and between Westrock Coffee Company and Robert</w:t>
            </w:r>
          </w:p>
        </w:tc>
        <w:tc>
          <w:tcPr>
            <w:tcW w:w="20" w:type="dxa"/>
            <w:vAlign w:val="bottom"/>
            <w:tcBorders>
              <w:top w:val="single" w:sz="8" w:color="0000EE"/>
            </w:tcBorders>
          </w:tcPr>
          <w:p>
            <w:pPr>
              <w:spacing w:after="0"/>
              <w:rPr>
                <w:sz w:val="18"/>
                <w:szCs w:val="18"/>
                <w:color w:val="auto"/>
              </w:rPr>
            </w:pPr>
          </w:p>
        </w:tc>
        <w:tc>
          <w:tcPr>
            <w:tcW w:w="1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P. McKinney</w:t>
            </w:r>
          </w:p>
        </w:tc>
        <w:tc>
          <w:tcPr>
            <w:tcW w:w="2980" w:type="dxa"/>
            <w:vAlign w:val="bottom"/>
            <w:gridSpan w:val="2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10.10#</w:t>
            </w:r>
          </w:p>
        </w:tc>
        <w:tc>
          <w:tcPr>
            <w:tcW w:w="39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Employment Agreement, dated August 26, 2022, by</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76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and between Westrock Coffee Company and John</w:t>
            </w:r>
          </w:p>
        </w:tc>
        <w:tc>
          <w:tcPr>
            <w:tcW w:w="1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5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Blake Schuhmacher</w:t>
            </w:r>
          </w:p>
        </w:tc>
        <w:tc>
          <w:tcPr>
            <w:tcW w:w="34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10.11#</w:t>
            </w: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Westrock Coffee Company 2022 Equity Incentive</w:t>
              </w:r>
            </w:hyperlink>
          </w:p>
        </w:tc>
        <w:tc>
          <w:tcPr>
            <w:tcW w:w="32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r:id="rId140">
              <w:r>
                <w:rPr>
                  <w:rFonts w:ascii="Times New Roman" w:cs="Times New Roman" w:eastAsia="Times New Roman" w:hAnsi="Times New Roman"/>
                  <w:sz w:val="18"/>
                  <w:szCs w:val="18"/>
                  <w:color w:val="0000EE"/>
                  <w:w w:val="93"/>
                </w:rPr>
                <w:t>Plan</w:t>
              </w:r>
            </w:hyperlink>
          </w:p>
        </w:tc>
        <w:tc>
          <w:tcPr>
            <w:tcW w:w="3600" w:type="dxa"/>
            <w:vAlign w:val="bottom"/>
            <w:gridSpan w:val="2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10.12#</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Restricted Stock Unit Award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21"/>
                <w:szCs w:val="21"/>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10.13#</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Westrock Coffee Company Annual Cash Incentive</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42">
              <w:r>
                <w:rPr>
                  <w:rFonts w:ascii="Times New Roman" w:cs="Times New Roman" w:eastAsia="Times New Roman" w:hAnsi="Times New Roman"/>
                  <w:sz w:val="18"/>
                  <w:szCs w:val="18"/>
                  <w:color w:val="0000EE"/>
                  <w:w w:val="93"/>
                </w:rPr>
                <w:t>Plan</w:t>
              </w:r>
            </w:hyperlink>
          </w:p>
        </w:tc>
        <w:tc>
          <w:tcPr>
            <w:tcW w:w="3320" w:type="dxa"/>
            <w:vAlign w:val="bottom"/>
            <w:tcBorders>
              <w:top w:val="single" w:sz="8" w:color="0000EE"/>
            </w:tcBorders>
            <w:gridSpan w:val="18"/>
          </w:tcPr>
          <w:p>
            <w:pPr>
              <w:spacing w:after="0"/>
              <w:rPr>
                <w:sz w:val="18"/>
                <w:szCs w:val="18"/>
                <w:color w:val="auto"/>
              </w:rPr>
            </w:pPr>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10.14#</w:t>
            </w:r>
          </w:p>
        </w:tc>
        <w:tc>
          <w:tcPr>
            <w:tcW w:w="3920" w:type="dxa"/>
            <w:vAlign w:val="bottom"/>
            <w:gridSpan w:val="29"/>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Amended and Restated Westrock Coffee Company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24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2020 Stock Option Incentive Plan</w:t>
              </w:r>
            </w:hyperlink>
          </w:p>
        </w:tc>
        <w:tc>
          <w:tcPr>
            <w:tcW w:w="1220" w:type="dxa"/>
            <w:vAlign w:val="bottom"/>
            <w:tcBorders>
              <w:top w:val="single" w:sz="8" w:color="0000EE"/>
            </w:tcBorders>
            <w:gridSpan w:val="11"/>
          </w:tcPr>
          <w:p>
            <w:pPr>
              <w:spacing w:after="0"/>
              <w:rPr>
                <w:sz w:val="18"/>
                <w:szCs w:val="18"/>
                <w:color w:val="auto"/>
              </w:rPr>
            </w:pPr>
          </w:p>
        </w:tc>
        <w:tc>
          <w:tcPr>
            <w:tcW w:w="26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10.15#</w:t>
            </w:r>
          </w:p>
        </w:tc>
        <w:tc>
          <w:tcPr>
            <w:tcW w:w="3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Westrock Coffee Holdings, LLC Form of Option</w:t>
              </w:r>
            </w:hyperlink>
          </w:p>
        </w:tc>
        <w:tc>
          <w:tcPr>
            <w:tcW w:w="4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40" w:type="dxa"/>
            <w:vAlign w:val="bottom"/>
          </w:tcPr>
          <w:p>
            <w:pPr>
              <w:spacing w:after="0"/>
              <w:rPr>
                <w:sz w:val="18"/>
                <w:szCs w:val="18"/>
                <w:color w:val="auto"/>
              </w:rPr>
            </w:pP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Award Agreement</w:t>
              </w:r>
            </w:hyperlink>
          </w:p>
        </w:tc>
        <w:tc>
          <w:tcPr>
            <w:tcW w:w="2600" w:type="dxa"/>
            <w:vAlign w:val="bottom"/>
            <w:gridSpan w:val="2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10.16#</w:t>
            </w:r>
          </w:p>
        </w:tc>
        <w:tc>
          <w:tcPr>
            <w:tcW w:w="3940" w:type="dxa"/>
            <w:vAlign w:val="bottom"/>
            <w:gridSpan w:val="15"/>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Westrock Coffee Holdings, LLC Form of Restricted</w:t>
              </w:r>
            </w:hyperlink>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S-4</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10.20</w:t>
            </w:r>
          </w:p>
        </w:tc>
        <w:tc>
          <w:tcPr>
            <w:tcW w:w="19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August 3,</w:t>
            </w:r>
          </w:p>
        </w:tc>
      </w:tr>
      <w:tr>
        <w:trPr>
          <w:trHeight w:val="210"/>
        </w:trPr>
        <w:tc>
          <w:tcPr>
            <w:tcW w:w="840" w:type="dxa"/>
            <w:vAlign w:val="bottom"/>
          </w:tcPr>
          <w:p>
            <w:pPr>
              <w:spacing w:after="0"/>
              <w:rPr>
                <w:sz w:val="18"/>
                <w:szCs w:val="18"/>
                <w:color w:val="auto"/>
              </w:rPr>
            </w:pPr>
          </w:p>
        </w:tc>
        <w:tc>
          <w:tcPr>
            <w:tcW w:w="37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Unit Award Agreement</w:t>
              </w:r>
            </w:hyperlink>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264464</w:t>
            </w:r>
          </w:p>
        </w:tc>
        <w:tc>
          <w:tcPr>
            <w:tcW w:w="780" w:type="dxa"/>
            <w:vAlign w:val="bottom"/>
          </w:tcPr>
          <w:p>
            <w:pPr>
              <w:spacing w:after="0"/>
              <w:rPr>
                <w:sz w:val="18"/>
                <w:szCs w:val="18"/>
                <w:color w:val="auto"/>
              </w:rPr>
            </w:pPr>
          </w:p>
        </w:tc>
        <w:tc>
          <w:tcPr>
            <w:tcW w:w="19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39"/>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21</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List of Subsidiaries of Westrock Coffee Company</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23</w:t>
            </w:r>
          </w:p>
        </w:tc>
        <w:tc>
          <w:tcPr>
            <w:tcW w:w="35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36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62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6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spacing w:after="0"/>
              <w:rPr>
                <w:sz w:val="18"/>
                <w:szCs w:val="18"/>
                <w:color w:val="auto"/>
              </w:rPr>
            </w:pPr>
          </w:p>
        </w:tc>
        <w:tc>
          <w:tcPr>
            <w:tcW w:w="3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3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spacing w:after="0"/>
              <w:rPr>
                <w:sz w:val="18"/>
                <w:szCs w:val="18"/>
                <w:color w:val="auto"/>
              </w:rPr>
            </w:pPr>
          </w:p>
        </w:tc>
        <w:tc>
          <w:tcPr>
            <w:tcW w:w="3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6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spacing w:after="0"/>
              <w:rPr>
                <w:sz w:val="18"/>
                <w:szCs w:val="18"/>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8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2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32.2</w:t>
            </w:r>
          </w:p>
        </w:tc>
        <w:tc>
          <w:tcPr>
            <w:tcW w:w="3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spacing w:after="0"/>
              <w:rPr>
                <w:sz w:val="18"/>
                <w:szCs w:val="18"/>
                <w:color w:val="auto"/>
              </w:rPr>
            </w:pPr>
          </w:p>
        </w:tc>
        <w:tc>
          <w:tcPr>
            <w:tcW w:w="3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8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00" w:type="dxa"/>
            <w:vAlign w:val="bottom"/>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7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2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7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 w:type="dxa"/>
            <w:vAlign w:val="bottom"/>
          </w:tcPr>
          <w:p>
            <w:pPr>
              <w:spacing w:after="0"/>
              <w:rPr>
                <w:sz w:val="19"/>
                <w:szCs w:val="19"/>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920" w:right="4279" w:hanging="635"/>
        <w:spacing w:after="0" w:line="276"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14141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Designates management contract or compensatory plan or arrangement.</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2023</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Pledger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2023</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Blake Schuhmacher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3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00" w:type="dxa"/>
            <w:vAlign w:val="bottom"/>
          </w:tcPr>
          <w:p>
            <w:pPr>
              <w:jc w:val="center"/>
              <w:ind w:left="10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Scott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Pledger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 Christopher Pledger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Blake Schuhmacher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Blake Schuhmacher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Joe T. Ford</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Patrick Kruczek</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Patrick Kruczek</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McColl, III</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Hugh McColl, III</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Brad Martin</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Brad Martin</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Edmunds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Edmunds</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Josie C. Natori</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Josie C. Natori</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Starr Keating</w:t>
            </w:r>
          </w:p>
        </w:tc>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7"/>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Leslie Starr Keating</w:t>
            </w:r>
          </w:p>
        </w:tc>
        <w:tc>
          <w:tcPr>
            <w:tcW w:w="28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/s/Oluwatoyin Umesiri</w:t>
            </w:r>
          </w:p>
        </w:tc>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7"/>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Oluwatoyin Umesiri</w:t>
            </w:r>
          </w:p>
        </w:tc>
        <w:tc>
          <w:tcPr>
            <w:tcW w:w="28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/s/Jeffrey H. Fox</w:t>
            </w:r>
          </w:p>
        </w:tc>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7"/>
              </w:rPr>
              <w:t>March 21, 2023</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Jeffrey H. Fox</w:t>
            </w:r>
          </w:p>
        </w:tc>
        <w:tc>
          <w:tcPr>
            <w:tcW w:w="284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339,862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CONVERTIBLE PREFERRED SHARES, REDEEMABLE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UNITS, AND SHAREHOLDERS' EQUITY (DEFICIT)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Shares, $0.01 par value, 24,000 shares authorized,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23,588 shares issued and outstanding, $11.50 liquidation value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Series A Redeemable Common Equivalent Preferred Units: $0.00 par value,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222,150 units authorized, no units and 222,150 units issued and outstanding at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Series B Redeemable Common Equivalent Preferred Units: $0.00 par value,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17,000 units authorized, no units and 17,000 units issued and outstanding at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 xml:space="preserve">Shareholders' Equity (Deficit) </w:t>
            </w:r>
            <w:r>
              <w:rPr>
                <w:rFonts w:ascii="Times New Roman" w:cs="Times New Roman" w:eastAsia="Times New Roman" w:hAnsi="Times New Roman"/>
                <w:sz w:val="25"/>
                <w:szCs w:val="25"/>
                <w:b w:val="1"/>
                <w:bCs w:val="1"/>
                <w:i w:val="1"/>
                <w:iCs w:val="1"/>
                <w:color w:val="auto"/>
                <w:vertAlign w:val="superscript"/>
              </w:rPr>
              <w:t>(1)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26,000 shares authorized, no shares issued and</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 shares authorized, 75,020 shares issued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outstanding at December 31, 2022; $0.00 par value, 39,389 shares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authorized, 34,523 shares issued and outstanding at December 31, 2021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(328,042)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Convertible Preferred Shares, Redeemable Units and</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339,862</w:t>
            </w:r>
          </w:p>
        </w:tc>
        <w:tc>
          <w:tcPr>
            <w:tcW w:w="18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consolidated subsidiaries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(23,364)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(21,947)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(14,950)</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(22,425)</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related party debt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equivalent preferred units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255,737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common equity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(23,998)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Payment of preferred equity issuance costs</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(4,380)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Payment of taxes for net share settlement of equity awards</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(162)</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Intercompany transactions, net</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(223,700)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23,445</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1,020</w:t>
            </w: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Parent Company Only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(the “Registrant”) have been prepared in accordance with Rule 12-04, Schedule I of Regulation S-X, as the restricted assets of the subsidiaries of Westrock, as defined in Rule 4-08(e)(3) of Regulation S-X, exceed 25% of the consolidated net assets of the Company.</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have been prepared using the same accounting principles and policies described in Note 3, Summary of Significant Accounting Policies, of Part II, Item 8 Financial Statements and Supplementary Data of this Annual Report on Form 10-K, with the only exception being that the parent company accounts for its subsidiaries using the equity method of accounting. The parent company condensed financial information should be read in conjunction with the Company’s consolidated financial statements and the accompanying notes thereto included in Part II, Item 8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Debt Restrictions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Westrock Beverage Solutions, LLC has restrictions on its ability to (i) declare or pay dividends or make any other distribution whether in cash, property, securities or a combination thereof or (ii) directly or indirectly redeem, purchase, retire or otherwise acquire for value any of Westrock Beverage Solutions, LLC’s equity interests or set aside any amount for such purpose, other than through the issuance of qualified equity interests,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the capital stock of Westrock Coffee Company, a Delaware corporation (“Westrock”), including the provisions included in our certificate of incorporation, bylaws, the investor rights agreement, dated April 4, 2022 (“Investor Rights Agreement”), by and among us, Westrock Group, LLC, The Stephens Group, LLC, Sowell Westrock, L.P., BBH Capital Partners V, L.P., BBH Capital Partners V-A, L.P., BBH CPV WCC Co-Investment LLC and Riverview Sponsor Partners, LLC, a Delaware limited liability company (“Riverview Sponsor”), and the Amended and Restated Warrant Agreement, dated August 25, 2022, by and among us, Computershare Inc. and Computershare Trust Company, N.A. (the “Warrant Agreement”). This description is not complete and is qualified by reference to the full text of our certificate of incorporation, bylaws, the Investor Rights Agreement and the Warrant Agreement, which are also included as exhibits to the Annual Report on Form 10-K on which this exhibit is filed, as well as the applicable provisions of the General Corporation Law of the State of Delaware (the “DGCL”).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our common stock, par value $0.01 per share (“Common Shares”) and 50,000,000 shares of preferred stock, of which 24,000,000 are designated Series A convertible preferred stock, par value $0.01 per share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holder of Common Shares is entitled to one vote for each share on all matters submitted to a vote of the stockholders. Holders of Common Shares vote, as a single class, with holders of Series A Preferred Shares, on an as-converted basis, on all matters submitted to a vote of the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outstanding shares of preferred stock, including the Series A Preferred Shares, holders of Common Shares are entitled to receive ratably any dividends that our board of directors may declare out of funds legally available for that purpose on a non-cumulative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Shares are entitled to share ratably in all assets remaining after payment of liabilities and the liquidation preference of any outstanding shares of preferred stock, including the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Transferability and Exchange</w:t>
      </w:r>
    </w:p>
    <w:p>
      <w:pPr>
        <w:spacing w:after="0" w:line="229"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The Common Shares are not subject to any conversion or exchange rights. Common Shares (including Common Shares obtained from the conversion of Series A Preferred Shares) held by parties to lock-up agreements are subject to contractual transfer restrictions.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than preemptive rights granted to the BBH Investors pursuant to the Investor Rights Agreement, holders of Common Shares have no preemptive or subscription rights. See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for more information. There are no redemption or sinking fund provisions applicable 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ind w:right="20"/>
        <w:spacing w:after="0" w:line="256" w:lineRule="auto"/>
        <w:rPr>
          <w:sz w:val="20"/>
          <w:szCs w:val="20"/>
          <w:color w:val="auto"/>
        </w:rPr>
      </w:pPr>
      <w:r>
        <w:rPr>
          <w:rFonts w:ascii="Times New Roman" w:cs="Times New Roman" w:eastAsia="Times New Roman" w:hAnsi="Times New Roman"/>
          <w:sz w:val="18"/>
          <w:szCs w:val="18"/>
          <w:color w:val="auto"/>
        </w:rPr>
        <w:t>Shares. All outstanding Common Shares are fully paid and non-assessable. The rights, preferences and privileges of the holders of the Common Shares are subject to, and may be adversely affected by, the rights of the holders of the Series A Preferred Shares and shares of any other series of preferred stock that we may designate and issue in the future. “BBH Investors” means BBH Capital Partners V, L.P., BBH Capital Partners V-A, L.P., BBH CPV WCC Co-Investment LLC, and any controlled affiliate of Brown Brothers Harriman &amp; Co. (“BBH”) that becomes an owner of any Common Shares or the Series A Preferred Shares from another BBH Investor and becomes a party to the Investor Rights Agreement, so long as such person remains a controlled affiliate of BBH.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subject to limitations prescribed by the DGCL and by our certificate of incorporation, to issue up to 50,000,000 shares of preferred stock in one or more series without further action by the holders of Common Shares, 24,000,000 shares of which are designated as the Series A Preferred Shares. Our board of directors has the discretion, subject to limitations prescribed by the DGCL, our certificate of incorporation and the Investor Rights Agreement, to determine the rights, preferences, privileges and restrictions, including voting rights, dividend rights, conversion rights, redemption privileges and liquidation preferences, of each series of preferred stock. The rights, preferences, privileges and restrictions of the Series A Preferred Shares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the redemption and conversion rights described below, the Series A Preferred Shares are perpetual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Series A Preferred Shares rank, with respect to dividend rights and/or distribution rights upon the liquidation, winding up or dissolution, as applicable, of Westrock: (i) senior to the Common Shares and each other class or series of capital stock of Westrock, the terms of which do not expressly provide that such class or series ranks senior or on parity to the Series A Preferred Shares as to dividend rights or distribution rights upon Westrock’s liquidation, winding up or dissolution (such stock, “Junior Stock”); (ii) on parity with any class or series of capital stock of Westrock, the terms of which expressly provide that such class or series ranks on parity with the Series A Preferred Shares as to dividend rights and distribution rights upon Westrock’s liquidation, winding-up or dissolution ( “Parity Stock”); and (iii) junior to any class or series of capital stock of Westrock, the terms of which expressly provide that such class or series ranks senior to the Series A Preferred Shares as to dividend rights or distribution rights upon Westrock’s liquidation, winding-up or dissolution ( “Senior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Each holder of the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 Rights</w:t>
      </w:r>
    </w:p>
    <w:p>
      <w:pPr>
        <w:spacing w:after="0" w:line="229"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So long as any Series A Preferred Shares are outstanding, Westrock may not, without the affirmative vote or consent of the holders of record of at least a majority in voting power of the Series A Preferred Shares, voting together as a single, separate class: (a) amend, alter or repeal any provision of the certificate of incorporation, the by-laws or any other such organizational document of Westrock that would adversely affect the rights, preferences, privileges, voting power or special rights of the Series A Preferred Shares, (b) amend,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25" w:name="page126"/>
    <w:bookmarkEnd w:id="125"/>
    <w:p>
      <w:pPr>
        <w:spacing w:after="0" w:line="267" w:lineRule="auto"/>
        <w:rPr>
          <w:sz w:val="20"/>
          <w:szCs w:val="20"/>
          <w:color w:val="auto"/>
        </w:rPr>
      </w:pPr>
      <w:r>
        <w:rPr>
          <w:rFonts w:ascii="Times New Roman" w:cs="Times New Roman" w:eastAsia="Times New Roman" w:hAnsi="Times New Roman"/>
          <w:sz w:val="17"/>
          <w:szCs w:val="17"/>
          <w:color w:val="auto"/>
        </w:rPr>
        <w:t>alter, or supplement the certificate of incorporation, the by-laws or any other such organizational document of Westrock or any provision thereof, or take any other action to authorize or create, or increase the number of authorized or issued shares of, or any securities convertible into shares of, or reclassify any security into, or issue, any class or series of Senior Stock or Parity Stock, including with respect to dividend rights or rights upon Westrock’s liquidation, winding-up or dissolution, (c) increase or decrease the authorized number of the Series A Preferred Shares or issue Series A Preferred Shares, Parity Stock or Senior Stock and (d) for so long as the BBH Investors and their controlled affiliates own at least sixty percent (60%) of the Series A Preferred Shares that the BBH Investors owned on August 26, 2022, consummate any Fundamental Change in which the holders of the Series A Preferred Shares would receive less than $18.50 per share (subject to customary adjustments). “Fundamental Change” means the consummation of (i) a sale of all or substantially all of the consolidated assets of Westrock (including by way of any reorganization, merger, consolidation or other similar transaction);</w:t>
      </w:r>
    </w:p>
    <w:p>
      <w:pPr>
        <w:spacing w:after="0" w:line="5" w:lineRule="exact"/>
        <w:rPr>
          <w:sz w:val="20"/>
          <w:szCs w:val="20"/>
          <w:color w:val="auto"/>
        </w:rPr>
      </w:pPr>
    </w:p>
    <w:p>
      <w:pPr>
        <w:ind w:right="40" w:firstLine="8"/>
        <w:spacing w:after="0" w:line="251"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acquisition of beneficial ownership of more than fifty percent of the voting securities of Westrock by another person or group (other than an equityholder of Westrock immediately prior to the closing of the Business Combination or its affiliates or any “group” arising out of the Investor Rights Agreement) by means of any transaction or series of transactions (including any reorganization, merger, consolidation, joint venture, share transfer or other similar transaction); (iii) a consolidation, merger, reorganization or other form of acquisition of or by Westrock or other transaction in which Westrock’s stockholders retain less than fifty percent of the voting securities of the entity resulting from such transaction (including, without limitation, an entity that, as a result of such transaction, owns Westrock either directly or indirectly through one or more subsidiaries) upon consummation of such transaction; or (iv) the obtaining by any person or group (other than an equityholder of Westrock immediately prior to the closing of the Business Combination or its affiliates or any “group” arising out of the Investor Rights Agreement) of the power to elect a majority of the members of Westrock’s board of directors. “Business Combination” means the business combination transaction between Riverview Acquisition Corp., a Delaware corporation (“Riverview”) that was merged out of existence in the Business Combination with Merger Sub II as the successor entity, and Westrock pursuant to the transaction agreement, dated as of April 4, 2022, by and among Riverview, Westrock, Merger Sub I and Merger Sub II (the “Transaction Agreement”), whereby, among other things, (i) Westrock converted from a Delaware limited liability company to a Delaware corporation, (ii) Merger Sub I merged with and into Riverview, with Riverview surviving the merger as a direct wholly owned subsidiary of Westrock, (iii) immediately following such merger, Riverview merged with and into Merger Sub II, with Merger Sub II surviving as a wholly-owned subsidiary of Westrock and (iv) the other transactions contemplated by the Transaction Agreement. “Merger Sub I” means Origin Merger Sub I, Inc., a Delaware corporation and a wholly owned subsidiary of Westrock. Merger Sub I was merged out of existence in the Business Combination and Merger Sub II is the successor entity to Merger Sub I. “Merger Sub II” means Origin Merger Sub II, LLC, a Delaware limited liability company and a wholly owned subsidiary of Westrock.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Westrock may, subject to customary restrictions, but is not required to, declare or pay any dividends solely on the Series A Preferred Shares (such dividend, the “Preferred Dividend”) on a Dividend Payment Date. “Dividend Payment Date” means March 31, June 30, September 30 and December 31 of each year; provided that, if any such Dividend Payment Date is not a business day, then the applicable dividend shall be payable on the next business day immediately following such Dividend Payment Date, without any interest. The record date for payment of Preferred Dividends will be the close of business on the fifteenth (15th) day of the calendar month which contains the relevant Dividend Payment Date or such other record date fixed by our board of directors (or a duly authorized committee of our board of directors) that is not more than sixty (60) nor less than ten (10) days prior to such Dividend Payment Date.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the Series A Preferred Shares are entitled to receive ratably any dividends that our board of directors declares and pays on the Common Shares, on an as-converted basis, when paid to holders of Common Shares (the “Participating Dividends”). The record date for each Participating Dividend shall be the same as the record date for the corresponding dividend on the Common Shares.</w:t>
      </w:r>
    </w:p>
    <w:p>
      <w:pPr>
        <w:spacing w:after="0" w:line="17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Subject to customary exceptions, so long as any Series A Preferred Shares remain outstanding, unless (x) full dividends on all outstanding Series A Preferred Shares that have been declared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6" w:name="page127"/>
    <w:bookmarkEnd w:id="126"/>
    <w:p>
      <w:pPr>
        <w:ind w:right="120"/>
        <w:spacing w:after="0" w:line="258" w:lineRule="auto"/>
        <w:rPr>
          <w:sz w:val="20"/>
          <w:szCs w:val="20"/>
          <w:color w:val="auto"/>
        </w:rPr>
      </w:pPr>
      <w:r>
        <w:rPr>
          <w:rFonts w:ascii="Times New Roman" w:cs="Times New Roman" w:eastAsia="Times New Roman" w:hAnsi="Times New Roman"/>
          <w:sz w:val="18"/>
          <w:szCs w:val="18"/>
          <w:color w:val="auto"/>
        </w:rPr>
        <w:t>including, in arrearage, or a sum sufficient for the payment of those dividends has been or is set aside by Westrock, (y) no Escalation Event is ongoing and (z) if any Fundamental Change has occurred, the requirement of obtaining the consent of the holders of a majority of the Series A Preferred Shares (voting as a separate class), if applicable, was satisfied with respect to such Fundamental Change, Westrock may not declare any dividend on, or make any distributions relating to, the Common Shares or any other Junior Stock, or redeem, purchase, acquire or make a liquidation payment relating to, any Junior Stock.</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so long as any Series A Preferred Shares remain outstanding, if declared dividends are not paid in full upon the Series A Preferred Shares and any Parity Stock, all dividends declared upon the Series A Preferred Shares and any Parity Stock will be declared on a proportional basis so that the amount of dividends declared per share will bear to each other the same ratio that all unpaid dividends as of the end of the most recent dividend payment period per Series A Preferred Share and accrued and unpaid dividends as of the end of the most recent dividend period per share of any Parity Stock bear to each other.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initial liquidation preference of the Series A Preferred Shares is $11.50 per share, plus any declared but unpaid dividends and subject to accretion if the PIK Rate (defined below) is in effect. In the event of our liquidation, dissolution or winding up, holders of the Series A Preferred Shares are entitled to receive, per Series A Preferred Share, the greater of (a) the liquidation preference and (b) the amount such holder would have received had they converted their Series A Preferred Shares into Common Shares immediately prior to such liquidation event.</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upon the voluntary or involuntary liquidation, winding-up or dissolution of Westrock, the assets of Westrock available for distribution to the holders of the Series A Preferred Shares and holders of Parity Stock are insufficient to permit payment in full to such holders of the sums which such holders are entitled to receive in such case, then all of the assets available for distribution to the holders of the Series A Preferred Shares and holders of the Parity Stock shall be distributed among and paid to such holders, ratably in proportion to the respective amounts that would be payable to such holders if such assets were sufficient to permit payment in full.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Transferability and Exchange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Holders of Series A Preferred Shares may voluntarily convert their Series A Preferred Shares into a whole number of Common Shares at any time at a rate equal to the quotient of (a) the liquidation preference as of the applicable conversion date, divided by (b) the conversion price as of the applicable conversion date, which is currently $11.50 per Series A Preferred Share, plus cash in lieu of fractional shares. The initial conversion price of $11.50 per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8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Subject to the rights described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below, in the event of specified extraordinary transactions, as a result of which Common Shares would be converted into, or exchanged for, stock, other securities or other property or assets (including cash or any combination thereof), each Series A Preferred Share outstanding immediately prior to such event will, without the consent of the holders of the Series A Preferred Shares, become convertible into the kind of stock, other securities or other property or assets that such holder would have been entitled to receive if such holder had converted its Series A Preferred Shares into Common Shares immediately prior to such event.</w:t>
      </w:r>
    </w:p>
    <w:p>
      <w:pPr>
        <w:spacing w:after="0" w:line="182"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color w:val="auto"/>
        </w:rPr>
        <w:t>Other than as described above and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xml:space="preserve"> below, the Series A Preferred Shares are not convertible at the option of Westrock.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593090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7" w:name="page128"/>
    <w:bookmarkEnd w:id="127"/>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holders of Series A Preferred Shares are subject to contractual transfer restrictions with respect to their Series A Preferred Shares and any Common Shares into which their Preferred Shares are converted.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Change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so long as the BBH Investor and its controlled affiliates own at least sixty percent (60%) of the Series A Preferred Shares that the BBH Investor owned as of August 26, 2022 (i.e. the Closing), the consummation of any Fundamental Change in which the holders of Series A Preferred Shares would receive less than the $18.50 per share (subject to customary adjustments) requires the consent of holders of a majority of the Series A Preferred Shares.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 Fundamental Change in which the consent of holders of a majority of the Series A Preferred Shares as a separate class is required, the holders of the Series A Preferred Shares will be entitled to receive the greater of (i) the liquidation preference of the Series A Preferred Shares and (ii) the amount such holder would have received had they converted the Series A Preferred Shares into Common Shares immediately prior to such Fundamental Change. In connection with a Fundamental Change in which the consent of holders of a majority of the Series A Preferred Shares as a separate class is not required, the holders of the Series A Preferred Shares will be entitled to receive the greater of (i) $18.50 per Series A Preferred Share (subject to customary adjustments) and (ii) the amount such holder would have received had they converted their Series A Preferred Shares into Common Shares immediately prior to such Fundamental Change.</w:t>
      </w:r>
    </w:p>
    <w:p>
      <w:pPr>
        <w:spacing w:after="0" w:line="19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Westrock is required to pay the above redemption price in cash, provided that, if all or any portion of the consideration delivered to holders of Common Shares in such Fundamental Change consists of securities, Westrock (or its successor) may pay a portion of equal proportion, but only of equal portion, of the redemption in Qualifying Stock, with the fair market value of such Qualifying Stock being determined by our board of directors in good faith using reasonable methodologies. “Qualifying Stock” means securities of Westrock or the acquiring, surviving or resulting entity in such Fundamental Change or the entity controlling any such entity that has voting powers, preferences, privileges and special rights identical to the rights of the Series A Preferred Shares except for such differences that if made to the Series A Preferred Shares would not require the consent of holders of the Series A Preferred Shares voting as a separate class and that is listed on a nationally recognized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Holder may exercise its right to redeem the Series A Preferred Shares by delivering a written notice to Westrock, which notice must certify (x) such holder’s address, (y) the number of Series A Preferred Shares held by such holder and the number of Series A Preferred Shares that such holder has elected to have redeemed and (z) the holder’s desired date of redemption, which must be a business day that is no earlier than thirty (30) days and no later than sixty (60) days from the date such notice is sent if such notice is sent prior to February 26, 2028 and no earlier than sixty (60) days and no later than ninety (90) days otherwise, or such later date as may be required to comply with the requirements of applicable law.</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To the extent any redemption is prohibited to be in cash, the liquidation preference on each unredeemed Series A Preferred Share will start accreting daily at a rate of ten percent per annum (the “PIK Rate”). In such case, any holder of Series A Preferred Shares may thereafter put any outstanding Series A Preferred Shares to Westrock only on August 26 of the applicable year, on the above terms, with the PIK Rate increasing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8" w:name="page129"/>
    <w:bookmarkEnd w:id="128"/>
    <w:p>
      <w:pPr>
        <w:ind w:right="80"/>
        <w:spacing w:after="0" w:line="282" w:lineRule="auto"/>
        <w:rPr>
          <w:sz w:val="20"/>
          <w:szCs w:val="20"/>
          <w:color w:val="auto"/>
        </w:rPr>
      </w:pPr>
      <w:r>
        <w:rPr>
          <w:rFonts w:ascii="Times New Roman" w:cs="Times New Roman" w:eastAsia="Times New Roman" w:hAnsi="Times New Roman"/>
          <w:sz w:val="18"/>
          <w:szCs w:val="18"/>
          <w:color w:val="auto"/>
        </w:rPr>
        <w:t>two percent with respect to unredeemed Series A Preferred Shares on each occasion that Westrock cannot satisfy the redemption entirely in cash.</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After February 26, 2028, Westrock may redeem, ratably, in whole or, from time to time in part, the Series A Preferred Shares of any holder then outstanding at a redemption price in cash, equal to the greater of (i) the liquidation preference and (ii) the product of (x) the number of Common Shares that would have been obtained from converting one Series A Preferred Share on the date Westrock notifies holders of the call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Series A Preferred Shares held by the BBH Investors may not be less than the $18.50 per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88"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Westrock may exercise its right to redeem the Series A Preferred Shares by delivering a written notice to all of the holders, which notice must, among other things, state the date on which the redemption shall occur, which date shall be no earlier than thirty (30) days and no later than sixty (60) days from the redemption notice date, the number of Series A Preferred Shares to be redeemed and, if fewer than all the shares of a holder are to be redeemed, the number of such Series A Preferred Shares to be redeemed, and redemption price to be paid on the redemption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Preferred Shares are not subject to or entitled to the operation of a retirement or sinking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BBH Investors have additional rights and obligations with respect to their Series A Preferred Shares under the Investor Rights Agreement. See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Our Certificate of Incorporation and Our Bylaws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Provisions of the DGCL and our certificate of incorporation and bylaws could make it more difficult to acquire Westrock by means of a tender offer, a proxy contest or otherwise, or to remove incumbent officers and directors. These provisions, which are summarized below, may discourage certain types of coercive takeover practices and takeover bids that our board of directors may consider inadequate and to encourage persons seeking to acquire control of Westrock to first negotiate with our board of directors. Westrock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Delaware corporation, Westrock is subject to Section 203 of the DGCL regarding corporate takeovers. In general, Section 203 of the DGCL prohibits a publicly held Delaware corporation from engaging in a “business combination” with an “interested stockholder” for a period of three years following the time the person became an interested stockholder, unless:</w:t>
      </w:r>
    </w:p>
    <w:p>
      <w:pPr>
        <w:spacing w:after="0" w:line="176" w:lineRule="exact"/>
        <w:rPr>
          <w:sz w:val="20"/>
          <w:szCs w:val="20"/>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such corporation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ind w:left="660" w:right="20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such transaction commenced, excluding, for purposes of determining the number of shares outstanding, (a) shares owned by persons who are directors and also officers of the corporation and (b)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this context, a “business combination” includes a merger, asset or stock sale, or other transaction resulting in a financial benefit to the interested stockholder. An “interested stockholder” is a person who, together with affiliates and associates, owns or, within</w:t>
      </w:r>
    </w:p>
    <w:p>
      <w:pPr>
        <w:ind w:right="20"/>
        <w:spacing w:after="0" w:line="253" w:lineRule="auto"/>
        <w:rPr>
          <w:sz w:val="20"/>
          <w:szCs w:val="20"/>
          <w:color w:val="auto"/>
        </w:rPr>
      </w:pPr>
      <w:r>
        <w:rPr>
          <w:rFonts w:ascii="Times New Roman" w:cs="Times New Roman" w:eastAsia="Times New Roman" w:hAnsi="Times New Roman"/>
          <w:sz w:val="18"/>
          <w:szCs w:val="18"/>
          <w:color w:val="auto"/>
        </w:rPr>
        <w:t>three years prior to the determination of interested stockholder status owned, 15% or more of a corporation’s outstanding voting stock. The existence of this provision would be expected to have an anti-takeover effect with respect to transactions not approved in advance by our board of directors, including discouraging attempts that might result in a premium over the market price for the Common Shares held by our stockholders.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Section 203 with an express provision in its original certificate of incorporation or an express provision in its certificate of incorporation or bylaws resulting from amendments approved by holders of at least a majority of the corporation’s outstanding voting shares. We have not elected to “opt out” of Section 203. However, following this offering and subject to compliance with Delaware law, our organizational documents and any contractual restrictions, we could subsequently elect to “opt out” of Section 203 by such an amendment to our certificate of incorporation or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is divided into three classes, with Class III consisting of four directors and Classes I and II consisting of three directors. The directors designated as Class I directors have terms expiring at the first annual meeting of stockholders following the consummation of the Business Combination, which we expect to hold in 2023. The directors designated as Class II directors have terms expiring at the following year’s annual meeting of stockholders, which we expect to hold in 2024, and the directors designated as Class III directors have terms expiring at the following year’s annual meeting of stockholders, which we expect to hold in 2025. Commencing with the first annual meeting of stockholders,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total voting power of shares of capital stock of Westrock present in person or represented by proxy at the meeting and entitled to vote on the matter, except that if the number of nominees exceeds the number of directors to be elected, the directors shall be elected by the vote of a plurality of the total voting power of shares of capital stock of Westrock present in person or represented by proxy at any such meeting. Under the classified board provisions, it may take two elections of directors for any individual or group to gain control of our board of directors. Accordingly, these provisions could discourage a third party from initiating a proxy contest, making a tender offer or otherwise attempting to gain control of Westrock. Beginning at the first annual meeting of stockholders in 2026, the directors whose terms expire at such annual meeting and any subsequent annual meeting will be elected to hold office for a one-year term expiring at the next annual meeting of stockholders and until such director’s successor shall have been elected and qualified. The board of directors will be fully declassified following the annual meeting in 2028 with all directors standing for election for one-year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Directors may be removed only for cause by the affirmative vote of the majority of the votes cast by the holders of shares entitled to vote for the election of directors; provided that once the directors are in a class that is elected for a one-year term, such director may be removed with or without cause.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it may be amended or altered in any manner provided by the DGCL, provided that specified amendments will require the affirmative vote or consent of the holders of at least a majority of the shares of Series A Preferred Shares outstanding at such time, voting together as a separate class. See the section titled “— </w:t>
      </w:r>
      <w:r>
        <w:rPr>
          <w:rFonts w:ascii="Times New Roman" w:cs="Times New Roman" w:eastAsia="Times New Roman" w:hAnsi="Times New Roman"/>
          <w:sz w:val="18"/>
          <w:szCs w:val="18"/>
          <w:i w:val="1"/>
          <w:iCs w:val="1"/>
          <w:color w:val="auto"/>
        </w:rPr>
        <w:t>Series A Preferred Shares —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above. Our bylaws may be adopted, amended, altered or repealed by stockholders upon the approval of at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all of the then-outstanding shares of stock entitled to vote at an election of directors, provided that specified amendments will require the affirmative vote or consent of the holders of at least a majority of the Series A Preferred Shares outstanding at such time, voting together as a separate class. See the section titled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Additionally, subject to the rights of the Series A Preferred Shares, our certificate of incorporation and bylaws provide that our bylaws may be adopted, amended, altered or repealed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Size of Board and Vacancies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the number of directors on our board of directors is fixed exclusively by our board of directors, provided that the board shall initially consist of ten directors and any increase or decrease to the size of the board shall require the consent of the WCC Investors, BBH Investors and Riverview Sponsor, as described more fully in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Subject to the rights of the WCC Investors, BBH Investors and Riverview Sponsor, as set forth in the Investor Rights Agreement, any vacancies on our board of directors resulting from any increase in the authorized number of directors or the death, resignation, retirement, disqualification, removal from office or other cause will be filled by a majority of the board of directors then in office, whether or not less than a quorum. Subject to the rights of the WCC Investors, BBH Investors and Riverview Sponsor, as set forth in the Investor Rights Agreement, our certificate of incorporation and our bylaws provide that any director appointed to fill a vacancy on our board of directors will hold office for a term expiring at the annual meeting of stockholders at which the term of office of the class to which he or she has been appointed expires and until such director’s successor shall have been duly elected and qualified. See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“WCC Investors” means Westrock Group, LLC, The Stephens Group, LLC, Sowell Westrock, L.P. and any affiliate of Joe T. Ford, Scott T. Ford, Witt Stephens, Jim Sowell or their respective families that becomes an owner of any Common Shares from another WCC Investor and becomes a party to the Investor Rights Agreement, so long as such person remains an affiliate of Joe T. Ford, Scott T. Ford, Witt Stephens, Jim Sowell or their families.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bylaws provide that only the chairman of the board of directors, the chief executive officer or an officer at the request of a majority of the members of the board of directors pursuant to a resolution approved by the board of directors may call special meetings of Westrock stockholders, and stockholders may not call special stockholder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Stockholder action must take place at the annual or a special meeting of Westrock stockholders, provided that, holders of the Series A Preferred Shares may take action or consent to any action with respect to the matters described under the section titled “—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without a meeting by delivering a consent in writing or by electronic transmission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the Series A Preferred Shares entitled to cast not less than the minimum number of votes that would be necessary to authorize, take or consent to such action at a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bylaws contain advance notice procedures with respect to stockholder proposals and nomination of candidates for election as directors, as well as minimum qualification requirements for stockholders making the proposals or nominations. Additionally, our bylaws require that candidates nominated by stockholders for election as a director disclose their qualifications and make customary representations, including that (a) they are not a party to any undisclosed voting commitment, any voting commitment that could interfere with their ability to fulfill their fiduciary duties as a director of Westrock, should they be elected, or any undisclosed agreement pursuant to which they would receive compensation, reimbursement or indemnification in connection with their service as a director of Westrock, (b) they will be in compliance, should they be elected, with Westrock’s corporate governance guidelines and the Westrock’s conflict of interest, confidentiality and stock ownership and trading policies and (c) they will abide by the procedures for the election of directors in our bylaws.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will not have the right to cumulate votes in the election of directors unless the company’s certificate of incorporation provides otherwise. Our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authority that our board of directors possesses to issue shares of preferred stock could potentially be used to discourage attempts by third parties to obtain control of Westrock through a merger, tender offer, proxy contest or otherwise by making such attempts more difficult or more costly. Our board of directors may be able to issue shares of preferred stock with voting rights or conversion rights that, if exercised, could adversely affect the voting power of the holders of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Preferred Shares</w:t>
      </w:r>
    </w:p>
    <w:p>
      <w:pPr>
        <w:spacing w:after="0" w:line="22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 xml:space="preserve">There are terms of the Series A Preferred Shares that may discourage attempts by third parties to obtain control of Westrock through a merger, tender offer, proxy contest or otherwise by making such attempts more difficult or more costly. These include: (i) the rights of the holders of Series A Preferred Shares to vote as a separate class with respect to amendments to the certificate of incorporation and bylaws of Westrock that would adversely affect the rights, preferences, privileges, voting power or special rights of the Series A Preferred Shares and, for so long as the BBH Investors and their controlled affiliates own at least sixty percent (60%) of the Series A Preferred Shares that the BBH Investors owned on August 26, 2022, any Fundamental Change in which the holders of the Series A Preferred Shares would receive less than $18.50 per share (subject to adjustment), and (ii) the rights of the Series A Preferred Shares in a Fundamental Change to receive at least a specified amount. See the section titled “— </w:t>
      </w:r>
      <w:r>
        <w:rPr>
          <w:rFonts w:ascii="Times New Roman" w:cs="Times New Roman" w:eastAsia="Times New Roman" w:hAnsi="Times New Roman"/>
          <w:sz w:val="17"/>
          <w:szCs w:val="17"/>
          <w:i w:val="1"/>
          <w:iCs w:val="1"/>
          <w:color w:val="auto"/>
        </w:rPr>
        <w:t>Preferred Stock</w:t>
      </w:r>
      <w:r>
        <w:rPr>
          <w:rFonts w:ascii="Times New Roman" w:cs="Times New Roman" w:eastAsia="Times New Roman" w:hAnsi="Times New Roman"/>
          <w:sz w:val="17"/>
          <w:szCs w:val="17"/>
          <w:color w:val="auto"/>
        </w:rPr>
        <w:t>” above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of Officers and Directors and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Liability of Directors and Officers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fiduciary duties as directors or officers, as applicable, except for liability (1) for any breach of the director’s or officer’s duty of loyalty to the corporation or its stockholders, (2) for acts or omissions not in good faith or which involve intentional misconduct or a knowing violation of law, (3) for a director under Section 174 of the DGCL (regarding, among other things, the payment of unlawful dividends or unlawful stock purchases or redemptions), (4) for any transaction from which the director derived an improper personal benefit, or (5) for an officer, in any action by or in right of the corporation. Our certificate of incorporation provides that, to the fullest extent permitted by the DGCL, no director or officer will be personally liable to us or to our stockholders for monetary damages for breach of fiduciary duty as a director or officer, as applicable.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32" w:name="page133"/>
    <w:bookmarkEnd w:id="132"/>
    <w:p>
      <w:pPr>
        <w:ind w:right="2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directors and officers with protection from awards for monetary damages for breaches of their duty of care, it does not eliminate this duty. Accordingly, our certificate of incorporation has no effect on the availability of equitable remedies such as an injunction or rescission based on a director’s breach of his or her duty of care.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Officers and Employees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our bylaws require us to indemnify any person who was or is a party or is threatened to be made a party to or is otherwise involved in any threatened, pending or completed action, suit or proceeding by reason of the fact that he or she is or was a director or officer of Westrock, or is or was serving at the request of Westrock as a director, officer, trustee, employee or agent of another corporation or of a partnership, joint venture, trust or other enterprise, including service with respect to employee benefit plans maintained or sponsored by Westrock, against all expense, liability and loss (including attorneys’ fees, judgments, fines, ERISA excise taxes or penalties and amounts paid or to be paid in settlement) incurred or suffered by such person in connection with such proceeding if the person acted in good faith and in a manner reasonably believed to be in or not opposed to the best interests of Westrock and, with respect to any criminal action or proceeding, had no reasonable cause to believe his or her conduct was unlawful.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authorized under our bylaws to purchase and maintain insurance to protect Westrock and any current or former director, officer, employee or agent of Westrock or another corporation, partnership, joint venture, trust or other enterprise against any expense, liability or loss, whether or not Westrock would have the power to indemnify such person against such expense, liability or loss under the DGCL.</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officers. The indemnification agreements provide that we will indemnify each indemnitee to the fullest extent permitted by the DGCL from and against all loss and liability suffered and expenses, judgments, fines and amounts paid in settlement incurred in connection with defending, investigating or settling any threatened, pending, or completed action, suit or proceeding related to the indemnitee’s service with Westrock. Additionally, we have agreed to advance to the indemnitee expenses incurred in connection therewith.</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these indemnification agreements and our certificate of incorporation and bylaws may discourage stockholders from bringing a lawsuit against our directors and covered officers for breach of fiduciary duty. These provisions also may reduce the likelihood of derivative litigation against our directors and officers, even though such an action, if successful, might otherwise benefit us and our stockholders. In addition, your investment in our securities may be adversely affected to the extent we pay the costs of settlement and damage awards under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the Westrock board of directors consents in writing to the selection of an alternative forum, the Delaware Court of Chancery or, if the Delaware Court of Chancery declines to accept jurisdiction, any state or federal court within the District of Delaware, will be the sole and exclusive forum for any derivative action or proceeding brought on our behalf, any action asserting a claim for or based on a breach of a fiduciary duty owed by any of our current or former directors or officers or other employee to us or our stockholders, including a claim alleging the aiding and abetting of such a breach of fiduciary duty, any action asserting a claim against us or any of our current or former directors or officers or other employees arising pursuant to any provision of the DGCL or our certificate of incorporation or bylaws, or any action asserting a claim related to or involving us that is governed by the internal affairs doctrine under Delaware law and any action asserting an “internal corporate claim” as that term is defined in Section 115 of the DGCL. Section 27 of the Securities Exchange Act of 1934, as amended (the “Exchange Act”), provides that the district courts of the United States shall have exclusive jurisdiction of violations of the Exchange Act or the rules and regulations thereunder, and of all suits in equity and actions at law brought to enforce any liability or duty created by the Exchange Act or the rules and regulations thereunder. As a result, this forum selection provision will not apply to actions arising under the Exchange Act or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3" w:name="page134"/>
    <w:bookmarkEnd w:id="133"/>
    <w:p>
      <w:pPr>
        <w:spacing w:after="0" w:line="255" w:lineRule="auto"/>
        <w:rPr>
          <w:sz w:val="20"/>
          <w:szCs w:val="20"/>
          <w:color w:val="auto"/>
        </w:rPr>
      </w:pPr>
      <w:r>
        <w:rPr>
          <w:rFonts w:ascii="Times New Roman" w:cs="Times New Roman" w:eastAsia="Times New Roman" w:hAnsi="Times New Roman"/>
          <w:sz w:val="18"/>
          <w:szCs w:val="18"/>
          <w:color w:val="auto"/>
        </w:rPr>
        <w:t>thereunder. This forum selection provision will also not apply to any other claim for which the federal courts have exclusive jurisdiction. In addition, Westrock’s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“Securities Act”), or the rules and regulations promulgated thereunder. There is uncertainty as to whether a court would enforce this provision with respect to claims under the Securities Act, and our stockholders cannot waive compliance with the federal securities laws and the rules and regulations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Waiver</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Westrock waives, to the maximum extent permitted by law, the application of the doctrine of corporate opportunity, or any other analogous doctrine, with respect to Westrock, any non-employee directors or stockholders or any of their respective affiliates. Without limiting the foregoing, Westrock will renounce, to the fullest extent permitted by law, any interest or expectancy of Westrock, its stockholders and any of their respective affiliates in, or in being notified of or offered an opportunity to participate in, any Excluded Opportunity. An “Excluded Opportunity” is any matter, transaction or interest that is presented to, or acquired, created or developed by, or which otherwise comes into the possession of (i) any director of Westrock who is not an employee of Westrock or any of its subsidiaries or (ii) any such director’s affiliates, partners, or other representatives (each of the foregoing, a “Covered Person”), unless such matter, transaction or interest is expressly offered to such director solely in his or her capacity as a director of Westrock. No Covered Person shall have any duty to communicate or offer an Excluded Opportunity to Westrock or any of its affiliates or stockholders, and no Covered Person shall have any liability to Westrock, any of its affiliates or stockholders for breach of any duty, as a director or otherwise, by reason of the fact that such Covered Person pursues or acquires an Excluded Opportunity, directs an Excluded Opportunity to another person or fails to present an Excluded Opportunity, or information regarding an Excluded Opportunity, to Westrock or any of its affiliates or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Common Shares and shares of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Shares and shares of preferred stock could render more difficult or discourage an attempt to obtain control of Westrock by means of a proxy contest, tender offer, merger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we entered into the Registration Rights Agreement, pursuant to which each of the stockholders party thereto are entitled to demand the registration of the sale of certain or all of the Common Shares and Series A Preferred Shares that they beneficially 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Commencing on September 25, 2022, each warrant listed for trading on Nasdaq under the symbol “WESTW” (“Public Warrants”) entitles the registered holder to purchase one Common Share at a price of $11.50 per share, subject to adjustment as discussed below, provided that Westrock has an effective registration statement under the Securities Act covering the Common Shares issuable upon exercise of the Public Warrants and a current prospectus relating to them is available (or Westrock permits holders to exercise their Public Warrants on a cashless basis under the circumstances specified in the Warrant Agreement) and such shares are registered, qualified or exempt from registration under the securities, or blue sky, laws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ind w:right="200"/>
        <w:spacing w:after="0" w:line="282" w:lineRule="auto"/>
        <w:rPr>
          <w:sz w:val="20"/>
          <w:szCs w:val="20"/>
          <w:color w:val="auto"/>
        </w:rPr>
      </w:pPr>
      <w:r>
        <w:rPr>
          <w:rFonts w:ascii="Times New Roman" w:cs="Times New Roman" w:eastAsia="Times New Roman" w:hAnsi="Times New Roman"/>
          <w:sz w:val="18"/>
          <w:szCs w:val="18"/>
          <w:color w:val="auto"/>
        </w:rPr>
        <w:t>state of residence of the holder. The Public Warrants will expire on August 26, 2027, at 5:00 p.m., New York City time, or earlier upon redemption or liquidation.</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Westrock is not obligated to deliver any Common Shares pursuant to the exercise for cash of a Public Warrant and has no obligation to settle such Public Warrant exercise unless a registration statement under the Securities Act with respect to the Common Shares underlying the Public Warrants is then effective and a prospectus relating thereto is current, subject to Westrock satisfying its obligations described below with respect to registration, or a valid exemption from registration is available. No Public Warrant is exercisable and Westrock is not obligated to issue a Common Share upon exercise of a Public Warrant unless the Common Shares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Westrock be required to net cash settle any Public Warrant.</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Westrock is obligated to use its best efforts to file with the Securities and Exchange Commission a registration statement for the registration, under the Securities Act, of the Common Shares issuable upon exercise of the Warrants, and use its commercially reasonable efforts to cause the same to become effective and to maintain the effectiveness of a registration statement for the registration, under the Securities Act, of the Common Shares issuable upon exercise of the Warrants, and a current prospectus relating thereto, until the expiration of the Warrants in accordance with the provisions of the Warrant Agreement. Under the terms of the Warrant Agreement, because a registration statement covering the Common Shares issuable upon exercise of the Warrants was not effective by November 25, 2022, Warrant holders have been permitted since November 28, 2022, and will be permitted until such time as there is an effective registration statement and during any period when Westrock will have failed to maintain an effective registration statement, to exercise their Warrants on a “cashless basis” in accordance with Section 3(a)(9) of the Securities Act or another exemption.</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if Common Shares are at the time of any exercise of a Public Warrant are not listed on a national securities exchange such that they do not satisfy the definition of a “covered security” under Section 18(b)(1) of the Securities Act, Westrock may, at its option, require holders of the Public Warrants who exercise their Public Warrants to do so on a “cashless basis” in accordance with Section 3(a)(9) of the Securities Act and, in the event Westrock elects to do so, Westrock will not be required to file or maintain in effect a registration statement, but Westrock will use its best efforts to register or qualify the shares under applicable blue sky laws to the extent an exemption is not available. In such event, each holder would pay the exercise price by surrendering each such Public Warrant for that number of Common Shares equal to the quotient obtained by dividing (x) the product of the number of Common Shares underlying the Public Warrants, multiplied by the excess of the fair market value of the Common Shares over the exercise price of the Public Warrants by (y) the fair market value of the Common Shares. Under the Warrant Agreement, the fair market value of the Common Shares means average reported last sale price of the Common Shares for the ten (10) trading days ending on the third trading day prior to the date on which the notice of redemption is sent to the holders of Public Warrants.</w:t>
      </w:r>
    </w:p>
    <w:p>
      <w:pPr>
        <w:spacing w:after="0" w:line="190"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Once the Public Warrants become exercisable, Westrock may redeem not less than all of the outstanding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w:t>
      </w:r>
    </w:p>
    <w:p>
      <w:pPr>
        <w:spacing w:after="0" w:line="16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5" w:name="page136"/>
    <w:bookmarkEnd w:id="135"/>
    <w:p>
      <w:pPr>
        <w:jc w:val="both"/>
        <w:ind w:left="660" w:right="100" w:hanging="328"/>
        <w:spacing w:after="0" w:line="312"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Common Shares for any 20 trading days within a 30-trading day period ending three business days before Westrock sends the notice of redemption to the warrant holders equals or exceeds $18.00 per share.</w:t>
      </w:r>
    </w:p>
    <w:p>
      <w:pPr>
        <w:spacing w:after="0" w:line="14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Westrock, Westrock may exercise its redemption right even if Westrock is unable to register or qualify the underlying securities for sale under all applicable state securities laws.</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Westrock issues a notice of redemption of the Public Warrants, each warrant holder will be entitled to exercise his, her or its Public Warrant prior to the scheduled redemption date. However, the price of the Common Shares may fall below the $18.00 redemption trigger price as well as the $11.50 (for whole shares) Public Warrant exercise price after the redemption notice is issued.</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Westrock’s management will have the option to require any holder that wishes to exercise its Public Warrant to do so on a “cashless basis.” If Westrock’s management takes advantage of this option, all holders of Public Warrants would pay the exercise price by surrendering their Public Warrants for that number of Common Shares equal to the quotient obtained by dividing (x) the product of the number of Common Shares underlying the Public Warrants, multiplied by the excess of the fair market value of the Common Shares (as defined above) over the exercise price of the Public Warrants by (y) the fair market value of the Common Shares.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Westrock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Shares outstanding immediately after giving effect to such exercise.</w:t>
      </w:r>
    </w:p>
    <w:p>
      <w:pPr>
        <w:spacing w:after="0" w:line="17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Common Shares is increased by a stock dividend payable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split-up of shares of Common Shares or other similar event, then, on the effective date of such stock dividend, split-up or similar event, the number of Common Shares issuable on exercise of each Public Warrant will be increased in proportion to such increase in the outstanding Common Shares. A rights offering to holders of Common Shares entitling holders to purchase Common Shares at a price less than the fair market value (as defined above) will be deemed a stock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 paid in such rights offering and (y) the fair market value. For these purposes, (i) if the rights offering is for securities convertible into or exercisable for Common Shares, in determining the price payable for Common Shares, there will be taken into account any consideration received for such rights, as well as any additional amount payable upon exercise or conversion and (ii) fair market value means the volume-weighted average price of Common Shares as reported during the ten (10) trading day period ending on the trading day prior to the first date on which the Common Shares trade on the applicable exchange or in the applicable market, regular way, without the right to receive such rights.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Common Shares on account of such Common Shares (or other securities into which the Public Warrants are convertible), other than (a) as described above or (b) specified ordinary cash dividends, then the Public Warrant exercise price will be decreased, effective immediately after the effective date of such event, by the amount of cash and/or the fair market value of any securities or other assets paid on each Common Share in respect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6" w:name="page137"/>
    <w:bookmarkEnd w:id="136"/>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stock split or reclassification of Common Shares or other similar event, then, on the effective date of such consolidation, combination, reverse share split, reclassification or similar event, the number of Common Shares issuable on exercise of each Public Warrant will be decreased in proportion to such decrease in outstanding Common Shares.</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Common Shares purchasable upon the exercise of the Public Warrants immediately prior to such adjustment and (y) the denominator of which will be the number of Common Shares so purchasable immediately thereafter.</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Westrock with or into another corporation (other than a consolidation or merger in which Westrock is the continuing corporation and that does not result in any reclassification or reorganization of the outstanding Common Shares), or in the case of any sale or conveyance to another corporation or entity of the assets or other property of Westrock as an entirety or substantially as an entirety in connection with which Westrock is dissolved, the holders of the Public Warrants will thereafter have the right to purchase and receive, upon the basis and upon the terms and conditions specified in the Public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w:t>
      </w:r>
    </w:p>
    <w:p>
      <w:pPr>
        <w:spacing w:after="0" w:line="19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Westrock, for the number of Public Warrants being exercised. The warrant holders do not have the rights or privileges of holders of Common Shares and any voting rights until they exercise their Public Warrants and receive Common Shares.</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Westrock will, upon exercise, round down to the nearest whole number, the number of Common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(including the Common Shares issuable upon exercise of the Private Placement Warrants) were not transferable, assignable or salable until September 25, 2022 (except pursuant to limited exceptions) and they will not be redeemable by Westrock so long as they are held by Riverview Sponsor or its permitted transferees (except as otherwise set forth herein). Riverview Sponsor, or its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ind w:right="180"/>
        <w:spacing w:after="0" w:line="256" w:lineRule="auto"/>
        <w:rPr>
          <w:sz w:val="20"/>
          <w:szCs w:val="20"/>
          <w:color w:val="auto"/>
        </w:rPr>
      </w:pPr>
      <w:r>
        <w:rPr>
          <w:rFonts w:ascii="Times New Roman" w:cs="Times New Roman" w:eastAsia="Times New Roman" w:hAnsi="Times New Roman"/>
          <w:sz w:val="18"/>
          <w:szCs w:val="18"/>
          <w:color w:val="auto"/>
        </w:rPr>
        <w:t>transferees, have the option to exercise the Private Placement Warrants on a cashless basis. Except as described below, the Private Placement Warrants have terms and provisions that are identical to those of the Public Warrants. If the Private Placement Warrants are held by holders other than Riverview Sponsor or its permitted transferees, the Private Placement Warrants will be redeemable by Westrock in all redemption scenarios and exercisable by the holders on the same basis as the Public Warrants. “Private Placement Warrants” means the 7,400,000 Warrants that are currently not listed for trading on any stock exchange, automated quotation system or other market.</w:t>
      </w:r>
    </w:p>
    <w:p>
      <w:pPr>
        <w:spacing w:after="0" w:line="187" w:lineRule="exact"/>
        <w:rPr>
          <w:sz w:val="20"/>
          <w:szCs w:val="20"/>
          <w:color w:val="auto"/>
        </w:rPr>
      </w:pPr>
    </w:p>
    <w:p>
      <w:pPr>
        <w:jc w:val="center"/>
        <w:ind w:right="320"/>
        <w:spacing w:after="0" w:line="276" w:lineRule="auto"/>
        <w:rPr>
          <w:sz w:val="20"/>
          <w:szCs w:val="20"/>
          <w:color w:val="auto"/>
        </w:rPr>
      </w:pPr>
      <w:r>
        <w:rPr>
          <w:rFonts w:ascii="Times New Roman" w:cs="Times New Roman" w:eastAsia="Times New Roman" w:hAnsi="Times New Roman"/>
          <w:sz w:val="17"/>
          <w:szCs w:val="17"/>
          <w:color w:val="auto"/>
        </w:rPr>
        <w:t>If holders of the Private Placement Warrants elect to exercise them on a cashless basis, they would pay the exercise price by surrendering his, her or its Private Placement Warrants for that number of Common Shares equal to the quotient obtained by dividing</w:t>
      </w:r>
    </w:p>
    <w:p>
      <w:pPr>
        <w:spacing w:after="0" w:line="1" w:lineRule="exact"/>
        <w:rPr>
          <w:sz w:val="20"/>
          <w:szCs w:val="20"/>
          <w:color w:val="auto"/>
        </w:rPr>
      </w:pPr>
    </w:p>
    <w:p>
      <w:pPr>
        <w:ind w:right="20" w:firstLine="8"/>
        <w:spacing w:after="0" w:line="253"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Common Shares underlying the Private Placement Warrants, multiplied by the excess of the fair market value of the Common Shares (defined below) over the exercise price of the Private Placement Warrants by (y) the fair market value of the Common Shares. For these purposes, the “historical fair market value” shall mean the average last reported sale price of the Common Shares for the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Common Shares, Series A Preferred Shares and Warrants is Computershare Trust Company,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Shares, Series A Preferred Shares and Warrants</w:t>
      </w:r>
    </w:p>
    <w:p>
      <w:pPr>
        <w:spacing w:after="0" w:line="229"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Common Shares and Public Warrants are listed on the Nasdaq Global Market under the symbols “WEST” and “WESTW,” respectively. The Series A Preferred Shares are not currently listed on any stock exchange, automated quotation system or other market and we do not currently intend to list the Series A Preferred Shares on any stock exchange, automated quotation system or other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Concurrently with the signing of the Transaction Agreement, (i) the WCC Investors, (ii) the BBH Investors, and (iii) Riverview Sponsor entered into the Investor Rights Agreement with Westrock, which sets forth certain rights of such equityholders with respect to Westrock, which are described below.</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Investor Rights Agreement, the Westrock board of directors will initially consist of ten directors. The WCC Investors have the right to designate for inclusion in Westrock’s slate of individuals to be nominated for election to the board of directors of Westrock (a) up to two directors (of which, so long as the Westrock board of directors is classified, one director will be for Class I and one director will be for Class III) for so long as the initial WCC Investors collectively beneficially own at least 10% of the Outstanding Stock and (b) up to one director (which such director will be for Class III so long as the Westrock board of directors is classified), so long as the WCC Investors collectively beneficially own at least 5% of the sum of the outstanding Common Shares and the outstanding Series A Preferred Shares on an as-converted basis to Common Shares (the “Outstanding Stock”) but less than 10% of the Outstanding Stock. The BBH Investors have the right to designate for inclusion in Westrock’s slate of individuals to be nominated for election to the board of directors of Westrock (a) up to two directors (of which, so long as the Westrock board of directors is classified, one director will be for Class II and one director will be for Class III) for so long as the BBH Investors collectively beneficially own at least 10% of the Outstanding Stock and (b) up to one director (which such director will be for Class III so long as the Westrock board of directors is classified), so long as the BBH Investors collectively beneficially own at least 5% of the Outstanding Stock but less than 10% of the Outstanding Stock; provided that, such designated directors must satisfy the independence requirements under the Nasdaq listing standards. Riverview Sponsor has the right to designate for inclusion in Westrock’s slate of individuals to be nominated for election to the board of directors of Westrock (a) two directors (of which, so long as the Westrock board of directors is classified, one director will be for Class I and one director will be for Class II) for so long as Riverview Sponsor, any controlled affiliate of R. Brad Martin and the PIPE Investors who invested in Westrock by purchasing Riverview shares collectively beneficially own at least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ind w:right="120"/>
        <w:spacing w:after="0" w:line="254" w:lineRule="auto"/>
        <w:rPr>
          <w:sz w:val="20"/>
          <w:szCs w:val="20"/>
          <w:color w:val="auto"/>
        </w:rPr>
      </w:pPr>
      <w:r>
        <w:rPr>
          <w:rFonts w:ascii="Times New Roman" w:cs="Times New Roman" w:eastAsia="Times New Roman" w:hAnsi="Times New Roman"/>
          <w:sz w:val="18"/>
          <w:szCs w:val="18"/>
          <w:color w:val="auto"/>
        </w:rPr>
        <w:t>of the Outstanding Stock and (b) one director (of which, so long as the Westrock board of directors is classified, will be for Class I), for so long as Riverview Sponsor, any controlled affiliate of R. Brad Martin and such PIPE Investors collectively beneficially own at least 5% of the Outstanding Stock but less than 10% of the Outstanding Stock; provided that, such designated directors must satisfy independence requirements under the Nasdaq listing standards. The remaining directors will be designated for inclusion in Westrock’s slate of individuals to be nominated for election to the board of directors of Westrock by the Nominating and Corporate Governance Committee of the Westrock board of directors and must satisfy independence requirements under the Nasdaq listing standards. “PIPE Investors” means the investors who entered into the subscription agreements in connection with the PIPE Financing. “PIPE Financing” means the sale and issuance of Common Shares and/or shares of common stock of Riverview in the PIPE financing that was conducted in connection with the Business Combination.</w:t>
      </w:r>
    </w:p>
    <w:p>
      <w:pPr>
        <w:spacing w:after="0" w:line="18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If the BBH Investors have the right to nominate at least one director and none of the directors designated by BBH are R. Patrick Kruczek or Matt Salsbury (the “Specified BBH Individuals”), Westrock is required to appoint one Specified BBH Individual not then serving as a director on the Westrock board of directors as a non-voting observer of the Westrock board of directors.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Investor Rights Agreement, any increase or decrease of the size of the Westrock board of directors above or below ten directors will require the consent of each of the WCC Investors, the BBH Investors and Riverview Sponsor, so long as such investor group has the right to designate at least one director. In the event that a vacancy is created at any time by the death, disqualification, resignation, removal or failure to be elected by Westrock’s stockholders (and no other director has been elected by the stockholders of Westrock to fill such vacancy) of a director designated by the WCC Investors, the BBH Investors or Riverview Sponsor, the applicable designating party will have the right to designate a replacement to fill such vacancy and the Westrock board of directors will use reasonable best efforts to cause such designee to be promptly appointed to the Westrock board of directors to fill such vacancy, subject to applicable law.</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Investor Rights Agreement also provides preemptive rights to the BBH Investors. Subject to customary exceptions, for so long as the BBH Investors have the right to designate at least one director, if Westrock proposes to issue any Common Shares or equity interests of Westrock (including any warrants, options or other rights to acquire, or any securities that are exercisable for, exchangeable for or convertible into, Common Shares or any class of security of Westrock) (a) in an unregistered offering to third parties or (b) at an offering price or implied offering price (in each case, prior to any underwriters’ discount and any other fees and commissions) for the Common Shares that is less than $10.00 per share (subject to customary adjustments), the BBH Investors have the right to purchase their pro-rata amount of such equity interests on the same terms and conditions and at the same price as being offered in such offering.</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WCC Investors, the BBH Investors and Riverview Sponsor are subject to customary standstill restrictions, including that such investors or any controlled affiliate of the controlling persons of such investors cannot, without Westrock’s prior written consent, (a) make any public announcement, proposal or offer with respect to, or otherwise solicit, seek or offer to effect (i) any business combination, merger, tender offer, exchange offer, sale of all or substantially all assets or similar transaction, (ii) any restructuring, recapitalization, liquidation or similar transaction involving Westrock or any of its subsidiaries, or (iii) any acquisition of any of Westrock’s loans, debt securities, equity securities or assets, or rights or options to acquire interests in any of Westrock’s loans, debt securities, equity securities or asset; (b) seek to control or change the management or the board of directors of Westrock; (c) call any special meeting of stockholders of Westrock or engage in any written consent of stockholders regarding the foregoing; (d) publicly disclose any intention, plan or arrangement prohibited by the foregoing or take any action that would or would reasonably be expected to require Westrock to make a public announcement regarding the possibility of a transaction or any of the events described in this paragraph, or (e) contest the validity of the standstill restrictions or make, initiate, take or participate in any demand, action (legal or otherwise) or proposal to amend, waive or terminate any provision of the standstill restrictions. Subject to specified early termination triggers, the standstill restrictions with respect to the WCC Investors, BBH Investors and Riverview Sponsor automatically terminate on the first day after such investor group no longer has the right to designate any directors for nomination pursuant to the Investor Rights Agreement.</w:t>
      </w:r>
    </w:p>
    <w:p>
      <w:pPr>
        <w:spacing w:after="0" w:line="19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Investor Rights Agreement also provides that if an Escalation Event is ongoing during the period during which the BBH Investors have the right to designate at least one director pursuant to the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9" w:name="page140"/>
    <w:bookmarkEnd w:id="139"/>
    <w:p>
      <w:pPr>
        <w:ind w:right="160"/>
        <w:spacing w:after="0" w:line="255" w:lineRule="auto"/>
        <w:rPr>
          <w:sz w:val="20"/>
          <w:szCs w:val="20"/>
          <w:color w:val="auto"/>
        </w:rPr>
      </w:pPr>
      <w:r>
        <w:rPr>
          <w:rFonts w:ascii="Times New Roman" w:cs="Times New Roman" w:eastAsia="Times New Roman" w:hAnsi="Times New Roman"/>
          <w:sz w:val="18"/>
          <w:szCs w:val="18"/>
          <w:color w:val="auto"/>
        </w:rPr>
        <w:t>Westrock may not take specified actions, that would require lender consent under the Credit Facility, without the consent of the BBH Investors and must provide the BBH Investors with the same information it provides to the lenders under the Credit Facility and at substantially the same time as it is provided to such lenders. “Escalation Event” means (i) any event of default for a failure to make payment when due under the principal credit facility of Westrock or (ii) the failure of Westrock to redeem all Series A Preferred Shares that the holders thereof have elected for redemption. “Credit Facility” means the $350.0 million credit facility under the credit agreement, which includes a $175.0 million senior secured first lien term loan facility and a $175.0 million senior secured first lien revolving credit facility</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so long as the BBH Investors have the right to designate at least one director for nomination pursuant to the Investor Rights Agreement, the BBH Investors and their controlled affiliates may not make any short sale of, grant any option for the purchase of, or enter into any hedging or similar transaction with the same economic effect as a short sale of or the purpose of which is to offset the loss that results from a decline in the market price of, any shares of Series A Preferred Shares or Common Shares, or otherwise establish or increase, directly or indirectly, a put equivalent position, as defined in Rule 16a-1(h) under the Exchange Act, with respect to any of the Series A Preferred Shares or Common Shares.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provides that Westrock cannot redeem any Series A Preferred Shares held by the BBH Investors if the redemption price for such shares is less than $18.50 per share (subject to adjustments), provided that, Westrock may redeem such shares in such a case if it pays an incremental price per share on the redemption date to the BBH Investors equal to the difference between $18.50 per share (subject to adjustments) and the redemption price.</w:t>
      </w:r>
    </w:p>
    <w:p>
      <w:pPr>
        <w:spacing w:after="0" w:line="1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Investor Rights Agreement also imposes customary confidentiality obligations on the WCC Investors, BBH Investors and Riverview Sponsor.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Investor Rights Agreement is governed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August 26,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Robert McKinney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enter into this Agreement to set forth the terms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to the Company.</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the mutual promises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acknowledged, the Parties agree as follows:</w:t>
      </w:r>
    </w:p>
    <w:p>
      <w:pPr>
        <w:spacing w:after="0" w:line="177" w:lineRule="exact"/>
        <w:rPr>
          <w:sz w:val="20"/>
          <w:szCs w:val="20"/>
          <w:color w:val="auto"/>
        </w:rPr>
      </w:pPr>
    </w:p>
    <w:p>
      <w:pPr>
        <w:jc w:val="both"/>
        <w:ind w:firstLine="1304"/>
        <w:spacing w:after="0" w:line="234"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 The Company agrees to employ Executive, and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the Company and its Affiliates (as defined below), subject to the terms and conditions of this Agreement, for the period commencing on the Effective Date and ending on the third anniversary of the Effective Date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commencing on the first anniversary of the Effective Date, and on each annual anniversary thereafter (such date and each annual anniversary thereof shall be hereinafter referred to as the “</w:t>
      </w:r>
      <w:r>
        <w:rPr>
          <w:rFonts w:ascii="Times New Roman" w:cs="Times New Roman" w:eastAsia="Times New Roman" w:hAnsi="Times New Roman"/>
          <w:sz w:val="22"/>
          <w:szCs w:val="22"/>
          <w:b w:val="1"/>
          <w:bCs w:val="1"/>
          <w:color w:val="auto"/>
        </w:rPr>
        <w:t>Renewal Date</w:t>
      </w:r>
      <w:r>
        <w:rPr>
          <w:rFonts w:ascii="Times New Roman" w:cs="Times New Roman" w:eastAsia="Times New Roman" w:hAnsi="Times New Roman"/>
          <w:sz w:val="22"/>
          <w:szCs w:val="22"/>
          <w:color w:val="auto"/>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 w:cs="Times New Roman" w:eastAsia="Times New Roman" w:hAnsi="Times New Roman"/>
          <w:sz w:val="22"/>
          <w:szCs w:val="22"/>
          <w:b w:val="1"/>
          <w:bCs w:val="1"/>
          <w:color w:val="auto"/>
        </w:rPr>
        <w:t>Notice of Non-Renewal</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 entity controlled by, controlling or under common control with the Company.</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 Location; Standard of Services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8"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 During the Employment Period, Executive shall serve as Chief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and shall perform customary and appropriate duties as may be reasonably assigned to Executive from time to time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Chief Executive Officer of the Company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shall have such responsibilities, power and authority as those normally associated with such position in public companies of a similar stature.</w:t>
      </w:r>
    </w:p>
    <w:p>
      <w:pPr>
        <w:spacing w:after="0" w:line="20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Location</w:t>
      </w:r>
      <w:r>
        <w:rPr>
          <w:rFonts w:ascii="Times New Roman" w:cs="Times New Roman" w:eastAsia="Times New Roman" w:hAnsi="Times New Roman"/>
          <w:sz w:val="22"/>
          <w:szCs w:val="22"/>
          <w:color w:val="auto"/>
        </w:rPr>
        <w:t>. During the Employment Period, Executive’s principal place of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either Concord, North Carolina or the Company’s headquarters in Little Rock, Arkansas, as mutually agreed, and subject to reasonable business travel at the Company’s request.</w:t>
      </w:r>
    </w:p>
    <w:p>
      <w:pPr>
        <w:spacing w:after="0" w:line="19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Standard of Services</w:t>
      </w:r>
      <w:r>
        <w:rPr>
          <w:rFonts w:ascii="Times New Roman" w:cs="Times New Roman" w:eastAsia="Times New Roman" w:hAnsi="Times New Roman"/>
          <w:sz w:val="22"/>
          <w:szCs w:val="22"/>
          <w:color w:val="auto"/>
        </w:rPr>
        <w:t>. During the Employment Period, Executive agrees to devote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783590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41" w:name="page142"/>
    <w:bookmarkEnd w:id="141"/>
    <w:p>
      <w:pPr>
        <w:jc w:val="both"/>
        <w:spacing w:after="0" w:line="239" w:lineRule="auto"/>
        <w:rPr>
          <w:sz w:val="20"/>
          <w:szCs w:val="20"/>
          <w:color w:val="auto"/>
        </w:rPr>
      </w:pPr>
      <w:r>
        <w:rPr>
          <w:rFonts w:ascii="Times New Roman" w:cs="Times New Roman" w:eastAsia="Times New Roman" w:hAnsi="Times New Roman"/>
          <w:sz w:val="22"/>
          <w:szCs w:val="22"/>
          <w:color w:val="auto"/>
        </w:rPr>
        <w:t>publish, teach at educational institutions, manage or advise with respect to investments or provide advice to other companies that do not compete and are not reasonably expected to compete with the Company in the future, in each case, so long as such activities do not materially interfere with the performance of Executive’s responsibilities in accordance with this Agreement.</w:t>
      </w:r>
    </w:p>
    <w:p>
      <w:pPr>
        <w:spacing w:after="0" w:line="203"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Employee Benefits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7"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Base Salary</w:t>
      </w:r>
      <w:r>
        <w:rPr>
          <w:rFonts w:ascii="Times New Roman" w:cs="Times New Roman" w:eastAsia="Times New Roman" w:hAnsi="Times New Roman"/>
          <w:sz w:val="22"/>
          <w:szCs w:val="22"/>
          <w:color w:val="auto"/>
        </w:rPr>
        <w:t>. During the Employment Period, Executive shall receive an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(the “</w:t>
      </w:r>
      <w:r>
        <w:rPr>
          <w:rFonts w:ascii="Times New Roman" w:cs="Times New Roman" w:eastAsia="Times New Roman" w:hAnsi="Times New Roman"/>
          <w:sz w:val="22"/>
          <w:szCs w:val="22"/>
          <w:b w:val="1"/>
          <w:bCs w:val="1"/>
          <w:color w:val="auto"/>
        </w:rPr>
        <w:t>Annual Base Salary</w:t>
      </w:r>
      <w:r>
        <w:rPr>
          <w:rFonts w:ascii="Times New Roman" w:cs="Times New Roman" w:eastAsia="Times New Roman" w:hAnsi="Times New Roman"/>
          <w:sz w:val="22"/>
          <w:szCs w:val="22"/>
          <w:color w:val="auto"/>
        </w:rPr>
        <w:t>”) of no less than $300,000, payable in accordance with the Company’s regular payroll practices. The Annual Base Salary shall be reviewed at least annually by the Board or an appropriate committee thereof (the Board or such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for possible increase, as determined in the discretion of the Committee. The term “Annual Base Salary” as used in this Agreement shall refer to the Annual Base Salary as it may be so adjusted from time to time.</w:t>
      </w:r>
    </w:p>
    <w:p>
      <w:pPr>
        <w:spacing w:after="0" w:line="202"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During the Employment Period, Executive shall have the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 for each fiscal year of the Company, an annual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pursuant to the terms of an annual incentive plan for senior executives of the Company, as in effect from time to time. Executive’s target Annual Bonus opportunity shall be 60% of the Annual Base Salary.</w:t>
      </w:r>
    </w:p>
    <w:p>
      <w:pPr>
        <w:spacing w:after="0" w:line="198"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Incentives</w:t>
      </w:r>
      <w:r>
        <w:rPr>
          <w:rFonts w:ascii="Times New Roman" w:cs="Times New Roman" w:eastAsia="Times New Roman" w:hAnsi="Times New Roman"/>
          <w:sz w:val="22"/>
          <w:szCs w:val="22"/>
          <w:color w:val="auto"/>
        </w:rPr>
        <w:t>. Executive shall be eligible to participate in the Company’s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in effect from time to time.</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Employee Benefit Plans</w:t>
      </w:r>
      <w:r>
        <w:rPr>
          <w:rFonts w:ascii="Times New Roman" w:cs="Times New Roman" w:eastAsia="Times New Roman" w:hAnsi="Times New Roman"/>
          <w:sz w:val="22"/>
          <w:szCs w:val="22"/>
          <w:color w:val="auto"/>
        </w:rPr>
        <w:t>. During the Employment Period, Executive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20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Executive shall be entitled to receive prompt reimbursement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(including travel, entertainment, professional dues and subscriptions) incurred by Executive, in accordance with the Company’s policies as in effect from time to time.</w:t>
      </w:r>
    </w:p>
    <w:p>
      <w:pPr>
        <w:spacing w:after="0" w:line="194" w:lineRule="exact"/>
        <w:rPr>
          <w:sz w:val="20"/>
          <w:szCs w:val="20"/>
          <w:color w:val="auto"/>
        </w:rPr>
      </w:pPr>
    </w:p>
    <w:p>
      <w:pPr>
        <w:ind w:left="1960" w:hanging="656"/>
        <w:spacing w:after="0"/>
        <w:tabs>
          <w:tab w:leader="none" w:pos="19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5" w:lineRule="auto"/>
        <w:tabs>
          <w:tab w:leader="none" w:pos="19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Executive’s employment shall terminate automatically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after Executive’s receipt of such notice (the “</w:t>
      </w:r>
      <w:r>
        <w:rPr>
          <w:rFonts w:ascii="Times New Roman" w:cs="Times New Roman" w:eastAsia="Times New Roman" w:hAnsi="Times New Roman"/>
          <w:sz w:val="22"/>
          <w:szCs w:val="22"/>
          <w:b w:val="1"/>
          <w:bCs w:val="1"/>
          <w:color w:val="auto"/>
        </w:rPr>
        <w:t>Disability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absence of Executive from Executive’s duties with the Company on a full-time basis for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2" w:name="page143"/>
    <w:bookmarkEnd w:id="142"/>
    <w:p>
      <w:pPr>
        <w:spacing w:after="0" w:line="258" w:lineRule="auto"/>
        <w:rPr>
          <w:sz w:val="20"/>
          <w:szCs w:val="20"/>
          <w:color w:val="auto"/>
        </w:rPr>
      </w:pPr>
      <w:r>
        <w:rPr>
          <w:rFonts w:ascii="Times New Roman" w:cs="Times New Roman" w:eastAsia="Times New Roman" w:hAnsi="Times New Roman"/>
          <w:sz w:val="22"/>
          <w:szCs w:val="22"/>
          <w:color w:val="auto"/>
        </w:rPr>
        <w:t>consecutive days, or for 180 days (which need not be consecutive) within a 365-day period, as a result of incapacity due to mental or physical illness.</w:t>
      </w:r>
    </w:p>
    <w:p>
      <w:pPr>
        <w:spacing w:after="0" w:line="181" w:lineRule="exact"/>
        <w:rPr>
          <w:sz w:val="20"/>
          <w:szCs w:val="20"/>
          <w:color w:val="auto"/>
        </w:rPr>
      </w:pPr>
    </w:p>
    <w:p>
      <w:pPr>
        <w:ind w:firstLine="1304"/>
        <w:spacing w:after="0" w:line="262"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Cause</w:t>
      </w:r>
      <w:r>
        <w:rPr>
          <w:rFonts w:ascii="Times New Roman" w:cs="Times New Roman" w:eastAsia="Times New Roman" w:hAnsi="Times New Roman"/>
          <w:sz w:val="22"/>
          <w:szCs w:val="22"/>
          <w:color w:val="auto"/>
        </w:rPr>
        <w:t>. The Company may terminate Executive’s employment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Period either with or without Cause.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80"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substantially perform Executive’s duties;</w:t>
      </w:r>
    </w:p>
    <w:p>
      <w:pPr>
        <w:spacing w:after="0" w:line="206"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of fraud, misappropriation, dishonesty, malfeasance or embezzlement by</w:t>
      </w:r>
    </w:p>
    <w:p>
      <w:pPr>
        <w:spacing w:after="0" w:line="25" w:lineRule="exact"/>
        <w:rPr>
          <w:rFonts w:ascii="Times New Roman" w:cs="Times New Roman" w:eastAsia="Times New Roman" w:hAnsi="Times New Roman"/>
          <w:sz w:val="21"/>
          <w:szCs w:val="21"/>
          <w:color w:val="auto"/>
        </w:rPr>
      </w:pP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 in connection with the performance of Executive’s duties to the Company;</w:t>
      </w:r>
    </w:p>
    <w:p>
      <w:pPr>
        <w:spacing w:after="0" w:line="182" w:lineRule="exact"/>
        <w:rPr>
          <w:rFonts w:ascii="Times New Roman" w:cs="Times New Roman" w:eastAsia="Times New Roman" w:hAnsi="Times New Roman"/>
          <w:sz w:val="21"/>
          <w:szCs w:val="21"/>
          <w:color w:val="auto"/>
        </w:rPr>
      </w:pPr>
    </w:p>
    <w:p>
      <w:pPr>
        <w:ind w:left="340" w:firstLine="1936"/>
        <w:spacing w:after="0" w:line="258" w:lineRule="auto"/>
        <w:tabs>
          <w:tab w:leader="none" w:pos="293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any policies of the Company or any restrictive covenants applicable to Executive; or</w:t>
      </w:r>
    </w:p>
    <w:p>
      <w:pPr>
        <w:spacing w:after="0" w:line="154"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conviction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pacing w:after="0" w:line="237"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1"/>
          <w:szCs w:val="21"/>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by a court of law pursuant to the dispute provisions of Section 11(a).</w:t>
      </w:r>
    </w:p>
    <w:p>
      <w:pPr>
        <w:spacing w:after="0" w:line="197" w:lineRule="exact"/>
        <w:rPr>
          <w:sz w:val="20"/>
          <w:szCs w:val="20"/>
          <w:color w:val="auto"/>
        </w:rPr>
      </w:pPr>
    </w:p>
    <w:p>
      <w:pPr>
        <w:jc w:val="both"/>
        <w:ind w:firstLine="1304"/>
        <w:spacing w:after="0" w:line="241"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Good Reason</w:t>
      </w:r>
      <w:r>
        <w:rPr>
          <w:rFonts w:ascii="Times New Roman" w:cs="Times New Roman" w:eastAsia="Times New Roman" w:hAnsi="Times New Roman"/>
          <w:sz w:val="22"/>
          <w:szCs w:val="22"/>
          <w:color w:val="auto"/>
        </w:rPr>
        <w:t>. Executive’s employment may be terminated by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with or without Good Reason. 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voluntary resignation after any of the following actions are taken by the Company or any of its Affiliates without Executive’s written consent:</w:t>
      </w:r>
    </w:p>
    <w:p>
      <w:pPr>
        <w:spacing w:after="0" w:line="202"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authority, duties or responsibilities;</w:t>
      </w:r>
    </w:p>
    <w:p>
      <w:pPr>
        <w:spacing w:after="0" w:line="206"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Annual Base Salary or target Annual Bonus</w:t>
      </w:r>
    </w:p>
    <w:p>
      <w:pPr>
        <w:spacing w:after="0" w:line="14" w:lineRule="exact"/>
        <w:rPr>
          <w:rFonts w:ascii="Times New Roman" w:cs="Times New Roman" w:eastAsia="Times New Roman" w:hAnsi="Times New Roman"/>
          <w:sz w:val="22"/>
          <w:szCs w:val="22"/>
          <w:color w:val="auto"/>
        </w:rPr>
      </w:pPr>
    </w:p>
    <w:p>
      <w:pPr>
        <w:ind w:left="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3" w:name="page144"/>
    <w:bookmarkEnd w:id="143"/>
    <w:p>
      <w:pPr>
        <w:ind w:left="340" w:right="20" w:firstLine="1936"/>
        <w:spacing w:after="0" w:line="258" w:lineRule="auto"/>
        <w:tabs>
          <w:tab w:leader="none" w:pos="29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Executive’s primary place of employment by more than 25 miles from Executive’s then-current primary place of employment as set forth in this Agreement; or</w:t>
      </w:r>
    </w:p>
    <w:p>
      <w:pPr>
        <w:spacing w:after="0" w:line="185"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violation of the terms of this Agreement.</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95" w:lineRule="exact"/>
        <w:rPr>
          <w:sz w:val="20"/>
          <w:szCs w:val="20"/>
          <w:color w:val="auto"/>
        </w:rPr>
      </w:pPr>
    </w:p>
    <w:p>
      <w:pPr>
        <w:jc w:val="both"/>
        <w:ind w:firstLine="1304"/>
        <w:spacing w:after="0" w:line="241" w:lineRule="auto"/>
        <w:tabs>
          <w:tab w:leader="none" w:pos="194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Executive’s employment may be terminated by Executive due to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shall mean Executive’s voluntary resignation at a time when the sum of Executive’s age and years of service equal at least 70,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has attained at least age 55 with at least 10 years of service with the Company or any predecessor or successor entity.</w:t>
      </w:r>
    </w:p>
    <w:p>
      <w:pPr>
        <w:spacing w:after="0" w:line="19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without Cause, or by Executive with or without Good Reason or due to Retirement, shall be communicated by Notice of Termination to the other party hereto given in accordance with Section 11(b).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20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Date of Termination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Date of Termination</w:t>
      </w:r>
      <w:r>
        <w:rPr>
          <w:rFonts w:ascii="Times New Roman" w:cs="Times New Roman" w:eastAsia="Times New Roman" w:hAnsi="Times New Roman"/>
          <w:sz w:val="21"/>
          <w:szCs w:val="21"/>
          <w:color w:val="auto"/>
        </w:rPr>
        <w:t>” means (i) 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receipt of the Notice of Termination or any later date specified therein or</w:t>
      </w:r>
    </w:p>
    <w:p>
      <w:pPr>
        <w:ind w:firstLine="8"/>
        <w:spacing w:after="0" w:line="237" w:lineRule="auto"/>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reason of death or Disability, the Date of Termination shall be the date of death of Executive or the Disability Effective Date, as the case may be.</w:t>
      </w:r>
    </w:p>
    <w:p>
      <w:pPr>
        <w:spacing w:after="0" w:line="201" w:lineRule="exact"/>
        <w:rPr>
          <w:sz w:val="20"/>
          <w:szCs w:val="20"/>
          <w:color w:val="auto"/>
        </w:rPr>
      </w:pPr>
    </w:p>
    <w:p>
      <w:pPr>
        <w:ind w:left="1960" w:hanging="656"/>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Obligations of the Company upon Termination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1304"/>
        <w:spacing w:after="0" w:line="246"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 Other Than for Cause, Death or Disability</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the Company terminates Executive’s employment other than for Cause, death or Disability, or Executive terminates employment for Good Reason, then,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4" w:name="page145"/>
    <w:bookmarkEnd w:id="14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subject to Executive’s execution within 50 days following the Date of Termination, and non-revocation, of a release of claims in the form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the Company and its Affiliates shall pay to Executive the following:</w:t>
      </w:r>
    </w:p>
    <w:p>
      <w:pPr>
        <w:spacing w:after="0" w:line="200" w:lineRule="exact"/>
        <w:rPr>
          <w:sz w:val="20"/>
          <w:szCs w:val="20"/>
          <w:color w:val="auto"/>
        </w:rPr>
      </w:pPr>
    </w:p>
    <w:p>
      <w:pPr>
        <w:jc w:val="both"/>
        <w:ind w:left="340" w:firstLine="1936"/>
        <w:spacing w:after="0" w:line="236" w:lineRule="auto"/>
        <w:tabs>
          <w:tab w:leader="none" w:pos="2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portion of the Annual Base Salary due for the period through the Date of Termination to the extent not theretofore paid, (B) any accrued but 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which Accrued Obligations shall be paid in a lump sum in cash within 60 days following the Date of Termination;</w:t>
      </w:r>
    </w:p>
    <w:p>
      <w:pPr>
        <w:spacing w:after="0" w:line="208" w:lineRule="exact"/>
        <w:rPr>
          <w:rFonts w:ascii="Times New Roman" w:cs="Times New Roman" w:eastAsia="Times New Roman" w:hAnsi="Times New Roman"/>
          <w:sz w:val="22"/>
          <w:szCs w:val="22"/>
          <w:color w:val="auto"/>
        </w:rPr>
      </w:pPr>
    </w:p>
    <w:p>
      <w:pPr>
        <w:jc w:val="both"/>
        <w:ind w:left="340" w:firstLine="1936"/>
        <w:spacing w:after="0" w:line="239" w:lineRule="auto"/>
        <w:tabs>
          <w:tab w:leader="none" w:pos="2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earned by Executive in respect of the fiscal year of the Company that was completed on or prior to the Date of Termination (the “</w:t>
      </w:r>
      <w:r>
        <w:rPr>
          <w:rFonts w:ascii="Times New Roman" w:cs="Times New Roman" w:eastAsia="Times New Roman" w:hAnsi="Times New Roman"/>
          <w:sz w:val="22"/>
          <w:szCs w:val="22"/>
          <w:b w:val="1"/>
          <w:bCs w:val="1"/>
          <w:color w:val="auto"/>
        </w:rPr>
        <w:t>Unpaid Annual Bonus</w:t>
      </w:r>
      <w:r>
        <w:rPr>
          <w:rFonts w:ascii="Times New Roman" w:cs="Times New Roman" w:eastAsia="Times New Roman" w:hAnsi="Times New Roman"/>
          <w:sz w:val="22"/>
          <w:szCs w:val="22"/>
          <w:color w:val="auto"/>
        </w:rPr>
        <w:t>”), which Unpaid Annual Bonus shall be paid in a lump sum in cash no later than March 15 following the year in which it was earned;</w:t>
      </w:r>
    </w:p>
    <w:p>
      <w:pPr>
        <w:spacing w:after="0" w:line="207" w:lineRule="exact"/>
        <w:rPr>
          <w:rFonts w:ascii="Times New Roman" w:cs="Times New Roman" w:eastAsia="Times New Roman" w:hAnsi="Times New Roman"/>
          <w:sz w:val="22"/>
          <w:szCs w:val="22"/>
          <w:color w:val="auto"/>
        </w:rPr>
      </w:pPr>
    </w:p>
    <w:p>
      <w:pPr>
        <w:jc w:val="both"/>
        <w:ind w:left="340" w:firstLine="1936"/>
        <w:spacing w:after="0" w:line="234" w:lineRule="auto"/>
        <w:tabs>
          <w:tab w:leader="none" w:pos="2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 w:cs="Times New Roman" w:eastAsia="Times New Roman" w:hAnsi="Times New Roman"/>
          <w:sz w:val="22"/>
          <w:szCs w:val="22"/>
          <w:b w:val="1"/>
          <w:bCs w:val="1"/>
          <w:color w:val="auto"/>
        </w:rPr>
        <w:t>Prorated Annual Bonus</w:t>
      </w:r>
      <w:r>
        <w:rPr>
          <w:rFonts w:ascii="Times New Roman" w:cs="Times New Roman" w:eastAsia="Times New Roman" w:hAnsi="Times New Roman"/>
          <w:sz w:val="22"/>
          <w:szCs w:val="22"/>
          <w:color w:val="auto"/>
        </w:rPr>
        <w:t xml:space="preserve">”), which Prorated Annual Bonus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210" w:lineRule="exact"/>
        <w:rPr>
          <w:rFonts w:ascii="Times New Roman" w:cs="Times New Roman" w:eastAsia="Times New Roman" w:hAnsi="Times New Roman"/>
          <w:sz w:val="22"/>
          <w:szCs w:val="22"/>
          <w:color w:val="auto"/>
        </w:rPr>
      </w:pPr>
    </w:p>
    <w:p>
      <w:pPr>
        <w:jc w:val="both"/>
        <w:ind w:left="340" w:firstLine="1936"/>
        <w:spacing w:after="0" w:line="249" w:lineRule="auto"/>
        <w:tabs>
          <w:tab w:leader="none" w:pos="293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product of (A) the Severance Multiple (as defined below) </w:t>
      </w:r>
      <w:r>
        <w:rPr>
          <w:rFonts w:ascii="Times New Roman" w:cs="Times New Roman" w:eastAsia="Times New Roman" w:hAnsi="Times New Roman"/>
          <w:sz w:val="21"/>
          <w:szCs w:val="21"/>
          <w:i w:val="1"/>
          <w:iCs w:val="1"/>
          <w:color w:val="auto"/>
        </w:rPr>
        <w:t xml:space="preserve">multiplied by </w:t>
      </w:r>
      <w:r>
        <w:rPr>
          <w:rFonts w:ascii="Times New Roman" w:cs="Times New Roman" w:eastAsia="Times New Roman" w:hAnsi="Times New Roman"/>
          <w:sz w:val="21"/>
          <w:szCs w:val="21"/>
          <w:color w:val="auto"/>
        </w:rPr>
        <w:t>(B) the sum of (x) the Annual Base Salary and (y) the target Annual Bonus opportunity as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 for the fiscal year of the Company in which the Date of Termination occurs, which amount shall be paid in a lump sum in cash on the first regularly scheduled payroll date following the effective date of the Release,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97" w:lineRule="exact"/>
        <w:rPr>
          <w:rFonts w:ascii="Times New Roman" w:cs="Times New Roman" w:eastAsia="Times New Roman" w:hAnsi="Times New Roman"/>
          <w:sz w:val="21"/>
          <w:szCs w:val="21"/>
          <w:color w:val="auto"/>
        </w:rPr>
      </w:pPr>
    </w:p>
    <w:p>
      <w:pPr>
        <w:jc w:val="both"/>
        <w:ind w:left="340" w:firstLine="1936"/>
        <w:spacing w:after="0" w:line="235" w:lineRule="auto"/>
        <w:tabs>
          <w:tab w:leader="none" w:pos="2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210" w:lineRule="exact"/>
        <w:rPr>
          <w:rFonts w:ascii="Times New Roman" w:cs="Times New Roman" w:eastAsia="Times New Roman" w:hAnsi="Times New Roman"/>
          <w:sz w:val="22"/>
          <w:szCs w:val="22"/>
          <w:color w:val="auto"/>
        </w:rPr>
      </w:pPr>
    </w:p>
    <w:p>
      <w:pPr>
        <w:jc w:val="both"/>
        <w:ind w:left="340" w:firstLine="1936"/>
        <w:spacing w:after="0" w:line="244" w:lineRule="auto"/>
        <w:tabs>
          <w:tab w:leader="none" w:pos="2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5" w:name="page146"/>
    <w:bookmarkEnd w:id="145"/>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Severance Multiple</w:t>
      </w:r>
      <w:r>
        <w:rPr>
          <w:rFonts w:ascii="Times New Roman" w:cs="Times New Roman" w:eastAsia="Times New Roman" w:hAnsi="Times New Roman"/>
          <w:sz w:val="22"/>
          <w:szCs w:val="22"/>
          <w:color w:val="auto"/>
        </w:rPr>
        <w:t>” shall mean one, unless a termination contemplated by this Section 5(a) occurs within one year following a Change in Control (as defined in the Westrock Coffee Company 2022 Equity Incentive Plan, as in effect on the Effective Date), in which case it shall mean two.</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206" w:lineRule="exact"/>
        <w:rPr>
          <w:sz w:val="20"/>
          <w:szCs w:val="20"/>
          <w:color w:val="auto"/>
        </w:rPr>
      </w:pPr>
    </w:p>
    <w:p>
      <w:pPr>
        <w:jc w:val="both"/>
        <w:ind w:firstLine="1304"/>
        <w:spacing w:after="0" w:line="236"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Retirement</w:t>
      </w:r>
      <w:r>
        <w:rPr>
          <w:rFonts w:ascii="Times New Roman" w:cs="Times New Roman" w:eastAsia="Times New Roman" w:hAnsi="Times New Roman"/>
          <w:sz w:val="22"/>
          <w:szCs w:val="22"/>
          <w:color w:val="auto"/>
        </w:rPr>
        <w:t>. If Executive’s employment is terminated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202"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Termination</w:t>
      </w:r>
      <w:r>
        <w:rPr>
          <w:rFonts w:ascii="Times New Roman" w:cs="Times New Roman" w:eastAsia="Times New Roman" w:hAnsi="Times New Roman"/>
          <w:sz w:val="22"/>
          <w:szCs w:val="22"/>
          <w:color w:val="auto"/>
        </w:rPr>
        <w:t>. If Executive’s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202"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Settlement</w:t>
      </w:r>
      <w:r>
        <w:rPr>
          <w:rFonts w:ascii="Times New Roman" w:cs="Times New Roman" w:eastAsia="Times New Roman" w:hAnsi="Times New Roman"/>
          <w:sz w:val="22"/>
          <w:szCs w:val="22"/>
          <w:color w:val="auto"/>
        </w:rPr>
        <w:t>. The payments and benefits provided under this Section 5 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99" w:lineRule="exact"/>
        <w:rPr>
          <w:sz w:val="20"/>
          <w:szCs w:val="20"/>
          <w:color w:val="auto"/>
        </w:rPr>
      </w:pPr>
    </w:p>
    <w:p>
      <w:pPr>
        <w:jc w:val="both"/>
        <w:ind w:firstLine="1304"/>
        <w:spacing w:after="0" w:line="246"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Mitigation</w:t>
      </w:r>
      <w:r>
        <w:rPr>
          <w:rFonts w:ascii="Times New Roman" w:cs="Times New Roman" w:eastAsia="Times New Roman" w:hAnsi="Times New Roman"/>
          <w:sz w:val="22"/>
          <w:szCs w:val="22"/>
          <w:color w:val="auto"/>
        </w:rPr>
        <w:t>. In no event shall Executive be obligated to seek other employment or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action by way of mitigation of any amounts payable to Executive under Section 5 and such amounts shall not be reduced whether or not Executive obtains other employment.</w:t>
      </w:r>
    </w:p>
    <w:p>
      <w:pPr>
        <w:spacing w:after="0" w:line="19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1304"/>
        <w:spacing w:after="0" w:line="262"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Executive shall hold in a fiduciary capacity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all secret or confidential information, knowledge or data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6" w:name="page147"/>
    <w:bookmarkEnd w:id="146"/>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After termination of Executive’s employment with the Company, Executive shall not, without the prior 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97" w:lineRule="exact"/>
        <w:rPr>
          <w:sz w:val="20"/>
          <w:szCs w:val="20"/>
          <w:color w:val="auto"/>
        </w:rPr>
      </w:pPr>
    </w:p>
    <w:p>
      <w:pPr>
        <w:jc w:val="both"/>
        <w:ind w:firstLine="1304"/>
        <w:spacing w:after="0" w:line="233" w:lineRule="auto"/>
        <w:tabs>
          <w:tab w:leader="none" w:pos="19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Patents</w:t>
      </w:r>
      <w:r>
        <w:rPr>
          <w:rFonts w:ascii="Times New Roman" w:cs="Times New Roman" w:eastAsia="Times New Roman" w:hAnsi="Times New Roman"/>
          <w:sz w:val="22"/>
          <w:szCs w:val="22"/>
          <w:color w:val="auto"/>
        </w:rPr>
        <w:t>. Executive agrees that all inventions, innovations,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20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During the period commencing on the Effective Date and ending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anniversary of the Date of Termination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7" w:name="page148"/>
    <w:bookmarkEnd w:id="147"/>
    <w:p>
      <w:pPr>
        <w:jc w:val="both"/>
        <w:ind w:firstLine="1304"/>
        <w:spacing w:after="0" w:line="233"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Executive acknowledges that, in the course of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the Company, Executive has become familiar, or shall become familiar, with the Company’s and its Affiliates’ trade secrets and with other Confidential Information concerning the Company, its Affiliates and their respective predecessors, and that 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activities) at any time during the one-year period ending with the Date of Termination, in any locale of 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20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From and following the Effective Date: (i) Executive shall not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98"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Executive acknowledges that all documents, records, files,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20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Trade Secrets; Whistleblower Rights</w:t>
      </w:r>
      <w:r>
        <w:rPr>
          <w:rFonts w:ascii="Times New Roman" w:cs="Times New Roman" w:eastAsia="Times New Roman" w:hAnsi="Times New Roman"/>
          <w:sz w:val="22"/>
          <w:szCs w:val="22"/>
          <w:color w:val="auto"/>
        </w:rPr>
        <w:t>. The Company hereby informs Executive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48" w:name="page149"/>
    <w:bookmarkEnd w:id="148"/>
    <w:p>
      <w:pPr>
        <w:jc w:val="both"/>
        <w:spacing w:after="0" w:line="247" w:lineRule="auto"/>
        <w:rPr>
          <w:sz w:val="20"/>
          <w:szCs w:val="20"/>
          <w:color w:val="auto"/>
        </w:rPr>
      </w:pPr>
      <w:r>
        <w:rPr>
          <w:rFonts w:ascii="Times New Roman" w:cs="Times New Roman" w:eastAsia="Times New Roman" w:hAnsi="Times New Roman"/>
          <w:sz w:val="21"/>
          <w:szCs w:val="21"/>
          <w:color w:val="auto"/>
        </w:rPr>
        <w:t>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95" w:lineRule="exact"/>
        <w:rPr>
          <w:sz w:val="20"/>
          <w:szCs w:val="20"/>
          <w:color w:val="auto"/>
        </w:rPr>
      </w:pPr>
    </w:p>
    <w:p>
      <w:pPr>
        <w:ind w:left="1960" w:hanging="656"/>
        <w:spacing w:after="0"/>
        <w:tabs>
          <w:tab w:leader="none" w:pos="196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Covenants Generally</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340" w:firstLine="1936"/>
        <w:spacing w:after="0" w:line="247" w:lineRule="auto"/>
        <w:tabs>
          <w:tab w:leader="none" w:pos="2932"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covenants as set forth in this Section 7 are from time to time referred to herein as the “</w:t>
      </w:r>
      <w:r>
        <w:rPr>
          <w:rFonts w:ascii="Times New Roman" w:cs="Times New Roman" w:eastAsia="Times New Roman" w:hAnsi="Times New Roman"/>
          <w:sz w:val="21"/>
          <w:szCs w:val="21"/>
          <w:b w:val="1"/>
          <w:bCs w:val="1"/>
          <w:color w:val="auto"/>
        </w:rPr>
        <w:t>Executive Covenants</w:t>
      </w:r>
      <w:r>
        <w:rPr>
          <w:rFonts w:ascii="Times New Roman" w:cs="Times New Roman" w:eastAsia="Times New Roman" w:hAnsi="Times New Roman"/>
          <w:sz w:val="21"/>
          <w:szCs w:val="21"/>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98" w:lineRule="exact"/>
        <w:rPr>
          <w:rFonts w:ascii="Times New Roman" w:cs="Times New Roman" w:eastAsia="Times New Roman" w:hAnsi="Times New Roman"/>
          <w:sz w:val="21"/>
          <w:szCs w:val="21"/>
          <w:color w:val="auto"/>
        </w:rPr>
      </w:pPr>
    </w:p>
    <w:p>
      <w:pPr>
        <w:jc w:val="both"/>
        <w:ind w:left="340" w:firstLine="1936"/>
        <w:spacing w:after="0" w:line="238" w:lineRule="auto"/>
        <w:tabs>
          <w:tab w:leader="none" w:pos="293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203" w:lineRule="exact"/>
        <w:rPr>
          <w:rFonts w:ascii="Times New Roman" w:cs="Times New Roman" w:eastAsia="Times New Roman" w:hAnsi="Times New Roman"/>
          <w:sz w:val="22"/>
          <w:szCs w:val="22"/>
          <w:color w:val="auto"/>
        </w:rPr>
      </w:pPr>
    </w:p>
    <w:p>
      <w:pPr>
        <w:jc w:val="both"/>
        <w:ind w:left="340" w:firstLine="1936"/>
        <w:spacing w:after="0" w:line="239" w:lineRule="auto"/>
        <w:tabs>
          <w:tab w:leader="none" w:pos="293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207"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of (A) Executive’s employment, (B) the Employment Period or</w:t>
      </w:r>
    </w:p>
    <w:p>
      <w:pPr>
        <w:spacing w:after="0" w:line="25" w:lineRule="exact"/>
        <w:rPr>
          <w:rFonts w:ascii="Times New Roman" w:cs="Times New Roman" w:eastAsia="Times New Roman" w:hAnsi="Times New Roman"/>
          <w:sz w:val="21"/>
          <w:szCs w:val="21"/>
          <w:color w:val="auto"/>
        </w:rPr>
      </w:pPr>
    </w:p>
    <w:p>
      <w:pPr>
        <w:ind w:left="680" w:hanging="348"/>
        <w:spacing w:after="0"/>
        <w:tabs>
          <w:tab w:leader="none" w:pos="6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have no effect on the continuing operation of this Section 7.</w:t>
      </w:r>
    </w:p>
    <w:p>
      <w:pPr>
        <w:spacing w:after="0" w:line="209" w:lineRule="exact"/>
        <w:rPr>
          <w:rFonts w:ascii="Times New Roman" w:cs="Times New Roman" w:eastAsia="Times New Roman" w:hAnsi="Times New Roman"/>
          <w:sz w:val="22"/>
          <w:szCs w:val="22"/>
          <w:color w:val="auto"/>
        </w:rPr>
      </w:pPr>
    </w:p>
    <w:p>
      <w:pPr>
        <w:jc w:val="both"/>
        <w:ind w:left="340" w:firstLine="1936"/>
        <w:spacing w:after="0" w:line="248" w:lineRule="auto"/>
        <w:tabs>
          <w:tab w:leader="none" w:pos="2932"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9" w:name="page150"/>
    <w:bookmarkEnd w:id="149"/>
    <w:p>
      <w:pPr>
        <w:jc w:val="both"/>
        <w:ind w:left="340"/>
        <w:spacing w:after="0" w:line="238" w:lineRule="auto"/>
        <w:rPr>
          <w:sz w:val="20"/>
          <w:szCs w:val="20"/>
          <w:color w:val="auto"/>
        </w:rPr>
      </w:pPr>
      <w:r>
        <w:rPr>
          <w:rFonts w:ascii="Times New Roman" w:cs="Times New Roman" w:eastAsia="Times New Roman" w:hAnsi="Times New Roman"/>
          <w:sz w:val="22"/>
          <w:szCs w:val="22"/>
          <w:color w:val="auto"/>
        </w:rPr>
        <w:t>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 deemed automatically extended by) any period during which Executive is in violation of the provisions of Section 7(c) or (d), as applicable.</w:t>
      </w:r>
    </w:p>
    <w:p>
      <w:pPr>
        <w:spacing w:after="0" w:line="200" w:lineRule="exact"/>
        <w:rPr>
          <w:sz w:val="20"/>
          <w:szCs w:val="20"/>
          <w:color w:val="auto"/>
        </w:rPr>
      </w:pPr>
    </w:p>
    <w:p>
      <w:pPr>
        <w:ind w:left="1960" w:hanging="65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Treatment of Certain Payments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3"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payments or benefits under this Agreement or otherwise, either alone or together with other payments or benefits that Executive receives or is entitled to receive from the Company or any of its Affiliates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subject Executive to the excise tax under Section 4999 of the Code, the Accounting Firm (as defined below) shall determine whether to reduce any of the Payments paid or payable pursuant to this Agreement (the “</w:t>
      </w:r>
      <w:r>
        <w:rPr>
          <w:rFonts w:ascii="Times New Roman" w:cs="Times New Roman" w:eastAsia="Times New Roman" w:hAnsi="Times New Roman"/>
          <w:sz w:val="22"/>
          <w:szCs w:val="22"/>
          <w:b w:val="1"/>
          <w:bCs w:val="1"/>
          <w:color w:val="auto"/>
        </w:rPr>
        <w:t>Agreement Payments</w:t>
      </w:r>
      <w:r>
        <w:rPr>
          <w:rFonts w:ascii="Times New Roman" w:cs="Times New Roman" w:eastAsia="Times New Roman" w:hAnsi="Times New Roman"/>
          <w:sz w:val="22"/>
          <w:szCs w:val="22"/>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21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21"/>
          <w:szCs w:val="21"/>
          <w:b w:val="1"/>
          <w:bCs w:val="1"/>
          <w:color w:val="auto"/>
        </w:rPr>
        <w:t>24(c)</w:t>
      </w:r>
      <w:r>
        <w:rPr>
          <w:rFonts w:ascii="Times New Roman" w:cs="Times New Roman" w:eastAsia="Times New Roman" w:hAnsi="Times New Roman"/>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202" w:lineRule="exact"/>
        <w:rPr>
          <w:rFonts w:ascii="Times New Roman" w:cs="Times New Roman" w:eastAsia="Times New Roman" w:hAnsi="Times New Roman"/>
          <w:sz w:val="21"/>
          <w:szCs w:val="21"/>
          <w:color w:val="auto"/>
        </w:rPr>
      </w:pPr>
    </w:p>
    <w:p>
      <w:pPr>
        <w:jc w:val="both"/>
        <w:ind w:firstLine="1304"/>
        <w:spacing w:after="0" w:line="239"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Overpayment</w:t>
      </w:r>
      <w:r>
        <w:rPr>
          <w:rFonts w:ascii="Times New Roman" w:cs="Times New Roman" w:eastAsia="Times New Roman" w:hAnsi="Times New Roman"/>
          <w:sz w:val="21"/>
          <w:szCs w:val="21"/>
          <w:color w:val="auto"/>
        </w:rPr>
        <w:t>”) or that additional amounts that shall have not been paid or distributed by the Company to or for the benefit of Executive pursuant to this Agreement could have been so paid or distributed (each, an “</w:t>
      </w:r>
      <w:r>
        <w:rPr>
          <w:rFonts w:ascii="Times New Roman" w:cs="Times New Roman" w:eastAsia="Times New Roman" w:hAnsi="Times New Roman"/>
          <w:sz w:val="21"/>
          <w:szCs w:val="21"/>
          <w:b w:val="1"/>
          <w:bCs w:val="1"/>
          <w:color w:val="auto"/>
        </w:rPr>
        <w:t>Underpayment</w:t>
      </w:r>
      <w:r>
        <w:rPr>
          <w:rFonts w:ascii="Times New Roman" w:cs="Times New Roman" w:eastAsia="Times New Roman" w:hAnsi="Times New Roman"/>
          <w:sz w:val="21"/>
          <w:szCs w:val="21"/>
          <w:color w:val="auto"/>
        </w:rPr>
        <w:t xml:space="preserve">”), in each case, consistent with the calculation of the Reduced Amount hereunder. In the event that the Accounting Firm, based upon the assertion of a 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201" w:lineRule="exact"/>
        <w:rPr>
          <w:sz w:val="20"/>
          <w:szCs w:val="20"/>
          <w:color w:val="auto"/>
        </w:rPr>
      </w:pPr>
    </w:p>
    <w:p>
      <w:pPr>
        <w:jc w:val="both"/>
        <w:ind w:firstLine="1304"/>
        <w:spacing w:after="0" w:line="246" w:lineRule="auto"/>
        <w:tabs>
          <w:tab w:leader="none" w:pos="19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02"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 for purposes of this Section 8:</w:t>
      </w:r>
    </w:p>
    <w:p>
      <w:pPr>
        <w:spacing w:after="0" w:line="229" w:lineRule="exact"/>
        <w:rPr>
          <w:rFonts w:ascii="Times New Roman" w:cs="Times New Roman" w:eastAsia="Times New Roman" w:hAnsi="Times New Roman"/>
          <w:sz w:val="22"/>
          <w:szCs w:val="22"/>
          <w:color w:val="auto"/>
        </w:rPr>
      </w:pPr>
    </w:p>
    <w:p>
      <w:pPr>
        <w:jc w:val="both"/>
        <w:ind w:left="340" w:firstLine="1612"/>
        <w:spacing w:after="0" w:line="237" w:lineRule="auto"/>
        <w:tabs>
          <w:tab w:leader="none" w:pos="293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Firm</w:t>
      </w:r>
      <w:r>
        <w:rPr>
          <w:rFonts w:ascii="Times New Roman" w:cs="Times New Roman" w:eastAsia="Times New Roman" w:hAnsi="Times New Roman"/>
          <w:sz w:val="22"/>
          <w:szCs w:val="22"/>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202" w:lineRule="exact"/>
        <w:rPr>
          <w:rFonts w:ascii="Times New Roman" w:cs="Times New Roman" w:eastAsia="Times New Roman" w:hAnsi="Times New Roman"/>
          <w:sz w:val="22"/>
          <w:szCs w:val="22"/>
          <w:color w:val="auto"/>
        </w:rPr>
      </w:pPr>
    </w:p>
    <w:p>
      <w:pPr>
        <w:jc w:val="both"/>
        <w:ind w:left="340" w:firstLine="1612"/>
        <w:spacing w:after="0" w:line="236" w:lineRule="auto"/>
        <w:tabs>
          <w:tab w:leader="none" w:pos="293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After-Tax Receipt</w:t>
      </w:r>
      <w:r>
        <w:rPr>
          <w:rFonts w:ascii="Times New Roman" w:cs="Times New Roman" w:eastAsia="Times New Roman" w:hAnsi="Times New Roman"/>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51" w:name="page152"/>
    <w:bookmarkEnd w:id="151"/>
    <w:p>
      <w:pPr>
        <w:jc w:val="both"/>
        <w:ind w:left="340" w:firstLine="1612"/>
        <w:spacing w:after="0" w:line="238" w:lineRule="auto"/>
        <w:tabs>
          <w:tab w:leader="none" w:pos="293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Value</w:t>
      </w:r>
      <w:r>
        <w:rPr>
          <w:rFonts w:ascii="Times New Roman" w:cs="Times New Roman" w:eastAsia="Times New Roman" w:hAnsi="Times New Roman"/>
          <w:sz w:val="22"/>
          <w:szCs w:val="22"/>
          <w:color w:val="auto"/>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shall apply to such Payment.</w:t>
      </w:r>
    </w:p>
    <w:p>
      <w:pPr>
        <w:spacing w:after="0" w:line="203" w:lineRule="exact"/>
        <w:rPr>
          <w:rFonts w:ascii="Times New Roman" w:cs="Times New Roman" w:eastAsia="Times New Roman" w:hAnsi="Times New Roman"/>
          <w:sz w:val="22"/>
          <w:szCs w:val="22"/>
          <w:color w:val="auto"/>
        </w:rPr>
      </w:pPr>
    </w:p>
    <w:p>
      <w:pPr>
        <w:ind w:left="340" w:firstLine="1612"/>
        <w:spacing w:after="0" w:line="262" w:lineRule="auto"/>
        <w:tabs>
          <w:tab w:leader="none" w:pos="293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 Harbor Amount</w:t>
      </w:r>
      <w:r>
        <w:rPr>
          <w:rFonts w:ascii="Times New Roman" w:cs="Times New Roman" w:eastAsia="Times New Roman" w:hAnsi="Times New Roman"/>
          <w:sz w:val="22"/>
          <w:szCs w:val="22"/>
          <w:color w:val="auto"/>
        </w:rPr>
        <w:t>” shall mean 2.99 times Executive’s “base amount,” within the meaning of Section 280G(b)(3) of the Code.</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This Agreement is personal to Executive and without the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202"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indemnify Executive and hold him harmless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20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5"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color w:val="auto"/>
        </w:rPr>
        <w:t>. This Agreement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in accordance with the laws of the State of Arkansas, without reference to principles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52" w:name="page153"/>
    <w:bookmarkEnd w:id="152"/>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201" w:lineRule="exact"/>
        <w:rPr>
          <w:sz w:val="20"/>
          <w:szCs w:val="20"/>
          <w:color w:val="auto"/>
        </w:rPr>
      </w:pPr>
    </w:p>
    <w:p>
      <w:pPr>
        <w:jc w:val="both"/>
        <w:ind w:firstLine="1304"/>
        <w:spacing w:after="0" w:line="246"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by hand delivery to the other party or by registered or certified mail, return receipt requested, postage prepaid, addressed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Executive</w:t>
      </w:r>
      <w:r>
        <w:rPr>
          <w:rFonts w:ascii="Times New Roman" w:cs="Times New Roman" w:eastAsia="Times New Roman" w:hAnsi="Times New Roman"/>
          <w:sz w:val="22"/>
          <w:szCs w:val="22"/>
          <w:color w:val="auto"/>
        </w:rPr>
        <w:t>: To the most recent address on file with 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Westrock Coffee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River Bluff Drive, Suite 210</w:t>
      </w:r>
    </w:p>
    <w:p>
      <w:pPr>
        <w:ind w:left="1300"/>
        <w:spacing w:after="0" w:line="230" w:lineRule="auto"/>
        <w:rPr>
          <w:sz w:val="20"/>
          <w:szCs w:val="20"/>
          <w:color w:val="auto"/>
        </w:rPr>
      </w:pPr>
      <w:r>
        <w:rPr>
          <w:rFonts w:ascii="Times New Roman" w:cs="Times New Roman" w:eastAsia="Times New Roman" w:hAnsi="Times New Roman"/>
          <w:sz w:val="22"/>
          <w:szCs w:val="22"/>
          <w:color w:val="auto"/>
        </w:rPr>
        <w:t>Little Rock, AR 72202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Chief Legal Officer</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704-782-3121</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81" w:lineRule="exact"/>
        <w:rPr>
          <w:sz w:val="20"/>
          <w:szCs w:val="20"/>
          <w:color w:val="auto"/>
        </w:rPr>
      </w:pPr>
    </w:p>
    <w:p>
      <w:pPr>
        <w:jc w:val="both"/>
        <w:ind w:firstLine="1304"/>
        <w:spacing w:after="0" w:line="235"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w:t>
      </w:r>
      <w:r>
        <w:rPr>
          <w:rFonts w:ascii="Times New Roman" w:cs="Times New Roman" w:eastAsia="Times New Roman" w:hAnsi="Times New Roman"/>
          <w:sz w:val="22"/>
          <w:szCs w:val="22"/>
          <w:color w:val="auto"/>
        </w:rPr>
        <w:t>. Prior to execution of this Agreement, Executive was advised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20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Invalidity</w:t>
      </w:r>
      <w:r>
        <w:rPr>
          <w:rFonts w:ascii="Times New Roman" w:cs="Times New Roman" w:eastAsia="Times New Roman" w:hAnsi="Times New Roman"/>
          <w:sz w:val="22"/>
          <w:szCs w:val="22"/>
          <w:color w:val="auto"/>
        </w:rPr>
        <w:t>. If any term or provision of this Agreement or the application thereof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20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Survivability</w:t>
      </w:r>
      <w:r>
        <w:rPr>
          <w:rFonts w:ascii="Times New Roman" w:cs="Times New Roman" w:eastAsia="Times New Roman" w:hAnsi="Times New Roman"/>
          <w:sz w:val="22"/>
          <w:szCs w:val="22"/>
          <w:color w:val="auto"/>
        </w:rPr>
        <w:t>. The provisions of this Agreement that by their terms call for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to the termination of either Executive’s employment or this Agreement (including the terms of Sections 5, 7, 8 and 10) shall so survive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3" w:name="page154"/>
    <w:bookmarkEnd w:id="153"/>
    <w:p>
      <w:pPr>
        <w:jc w:val="both"/>
        <w:ind w:firstLine="1304"/>
        <w:spacing w:after="0" w:line="246"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Headings; Construction</w:t>
      </w:r>
      <w:r>
        <w:rPr>
          <w:rFonts w:ascii="Times New Roman" w:cs="Times New Roman" w:eastAsia="Times New Roman" w:hAnsi="Times New Roman"/>
          <w:sz w:val="22"/>
          <w:szCs w:val="22"/>
          <w:color w:val="auto"/>
        </w:rPr>
        <w:t>. The section headings used in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solely for convenience and shall not affect, or be used in connection with, the interpretation hereof. For purposes of this Agreement, the term “including” shall mean “including, without limitation.”</w:t>
      </w:r>
    </w:p>
    <w:p>
      <w:pPr>
        <w:spacing w:after="0" w:line="194"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be an original but all of which together shall constitute one and the same instrument.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Company may withhold from any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such Federal, state, local or foreign taxes as shall be required to be withheld pursuant to any applicable law or regulation.</w:t>
      </w:r>
    </w:p>
    <w:p>
      <w:pPr>
        <w:spacing w:after="0" w:line="19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340" w:firstLine="1936"/>
        <w:spacing w:after="0" w:line="233" w:lineRule="auto"/>
        <w:tabs>
          <w:tab w:leader="none" w:pos="29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It is intended that payments and benefits made or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211" w:lineRule="exact"/>
        <w:rPr>
          <w:rFonts w:ascii="Times New Roman" w:cs="Times New Roman" w:eastAsia="Times New Roman" w:hAnsi="Times New Roman"/>
          <w:sz w:val="22"/>
          <w:szCs w:val="22"/>
          <w:color w:val="auto"/>
        </w:rPr>
      </w:pPr>
    </w:p>
    <w:p>
      <w:pPr>
        <w:jc w:val="both"/>
        <w:ind w:left="340" w:firstLine="1936"/>
        <w:spacing w:after="0" w:line="234" w:lineRule="auto"/>
        <w:tabs>
          <w:tab w:leader="none" w:pos="29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Reimbursements and In-Kind Benefits</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206" w:lineRule="exact"/>
        <w:rPr>
          <w:rFonts w:ascii="Times New Roman" w:cs="Times New Roman" w:eastAsia="Times New Roman" w:hAnsi="Times New Roman"/>
          <w:sz w:val="22"/>
          <w:szCs w:val="22"/>
          <w:color w:val="auto"/>
        </w:rPr>
      </w:pPr>
    </w:p>
    <w:p>
      <w:pPr>
        <w:jc w:val="both"/>
        <w:ind w:left="340" w:firstLine="1936"/>
        <w:spacing w:after="0" w:line="238" w:lineRule="auto"/>
        <w:tabs>
          <w:tab w:leader="none" w:pos="29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Delay of Payments</w:t>
      </w:r>
      <w:r>
        <w:rPr>
          <w:rFonts w:ascii="Times New Roman" w:cs="Times New Roman" w:eastAsia="Times New Roman" w:hAnsi="Times New Roman"/>
          <w:sz w:val="22"/>
          <w:szCs w:val="22"/>
          <w:color w:val="auto"/>
        </w:rPr>
        <w:t>. Notwithstanding any other provision of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54" w:name="page155"/>
    <w:bookmarkEnd w:id="154"/>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that is otherwise due to Executive under this Agreement during the six-month period immediately following Executive’s separation from service (as determined in accordance with Section 409A of the Code) on account of Executive’s separation from service shall be accumulated and paid to Executive on the first business day of the seventh month following Executive’s separation from service (the “</w:t>
      </w:r>
      <w:r>
        <w:rPr>
          <w:rFonts w:ascii="Times New Roman" w:cs="Times New Roman" w:eastAsia="Times New Roman" w:hAnsi="Times New Roman"/>
          <w:sz w:val="22"/>
          <w:szCs w:val="22"/>
          <w:b w:val="1"/>
          <w:bCs w:val="1"/>
          <w:color w:val="auto"/>
        </w:rPr>
        <w:t>Delayed Payment Date</w:t>
      </w:r>
      <w:r>
        <w:rPr>
          <w:rFonts w:ascii="Times New Roman" w:cs="Times New Roman" w:eastAsia="Times New Roman" w:hAnsi="Times New Roman"/>
          <w:sz w:val="22"/>
          <w:szCs w:val="22"/>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201" w:lineRule="exact"/>
        <w:rPr>
          <w:sz w:val="20"/>
          <w:szCs w:val="20"/>
          <w:color w:val="auto"/>
        </w:rPr>
      </w:pPr>
    </w:p>
    <w:p>
      <w:pPr>
        <w:jc w:val="both"/>
        <w:ind w:firstLine="1304"/>
        <w:spacing w:after="0" w:line="236"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No provision of this Agreement shall be modified or amended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20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5" w:name="page156"/>
    <w:bookmarkEnd w:id="155"/>
    <w:p>
      <w:pPr>
        <w:spacing w:after="0" w:line="262" w:lineRule="auto"/>
        <w:rPr>
          <w:sz w:val="20"/>
          <w:szCs w:val="20"/>
          <w:color w:val="auto"/>
        </w:rPr>
      </w:pPr>
      <w:r>
        <w:rPr>
          <w:rFonts w:ascii="Times New Roman" w:cs="Times New Roman" w:eastAsia="Times New Roman" w:hAnsi="Times New Roman"/>
          <w:sz w:val="22"/>
          <w:szCs w:val="22"/>
          <w:b w:val="1"/>
          <w:bCs w:val="1"/>
          <w:color w:val="414141"/>
        </w:rPr>
        <w:t xml:space="preserve">IN WITNESS WHEREOF, </w:t>
      </w:r>
      <w:r>
        <w:rPr>
          <w:rFonts w:ascii="Times New Roman" w:cs="Times New Roman" w:eastAsia="Times New Roman" w:hAnsi="Times New Roman"/>
          <w:sz w:val="22"/>
          <w:szCs w:val="22"/>
          <w:color w:val="414141"/>
        </w:rPr>
        <w:t>each of Executive and the Company have caused this Agreement to be duly executed</w:t>
      </w:r>
      <w:r>
        <w:rPr>
          <w:rFonts w:ascii="Times New Roman" w:cs="Times New Roman" w:eastAsia="Times New Roman" w:hAnsi="Times New Roman"/>
          <w:sz w:val="22"/>
          <w:szCs w:val="22"/>
          <w:b w:val="1"/>
          <w:bCs w:val="1"/>
          <w:color w:val="414141"/>
        </w:rPr>
        <w:t xml:space="preserve"> </w:t>
      </w:r>
      <w:r>
        <w:rPr>
          <w:rFonts w:ascii="Times New Roman" w:cs="Times New Roman" w:eastAsia="Times New Roman" w:hAnsi="Times New Roman"/>
          <w:sz w:val="22"/>
          <w:szCs w:val="22"/>
          <w:color w:val="414141"/>
        </w:rPr>
        <w:t>and delivered, effective as of the Effective Date.</w:t>
      </w:r>
    </w:p>
    <w:p>
      <w:pPr>
        <w:spacing w:after="0" w:line="19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 Robert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10795</wp:posOffset>
            </wp:positionV>
            <wp:extent cx="31457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Robert McKinney</w:t>
      </w: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 /s/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-3810</wp:posOffset>
            </wp:positionV>
            <wp:extent cx="2922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5280"/>
        <w:spacing w:after="0" w:line="233" w:lineRule="auto"/>
        <w:rPr>
          <w:sz w:val="20"/>
          <w:szCs w:val="20"/>
          <w:color w:val="auto"/>
        </w:rPr>
      </w:pPr>
      <w:r>
        <w:rPr>
          <w:rFonts w:ascii="Times New Roman" w:cs="Times New Roman" w:eastAsia="Times New Roman" w:hAnsi="Times New Roman"/>
          <w:sz w:val="22"/>
          <w:szCs w:val="22"/>
          <w:color w:val="auto"/>
        </w:rPr>
        <w:t>T. Christopher Pledger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50"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GENERAL RELEASE OF CLAIMS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by Robert McKinney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set forth on the signature page hereto. For purposes of this Release, reference is made to the Employment Agreement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Executive, dated as of August 26, 2022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Terms that are capitalized but not defined herein shall have the meanings set forth in the Employment Agreement.</w:t>
      </w:r>
    </w:p>
    <w:p>
      <w:pPr>
        <w:spacing w:after="0" w:line="204" w:lineRule="exact"/>
        <w:rPr>
          <w:sz w:val="20"/>
          <w:szCs w:val="20"/>
          <w:color w:val="auto"/>
        </w:rPr>
      </w:pPr>
    </w:p>
    <w:p>
      <w:pPr>
        <w:ind w:left="980" w:hanging="648"/>
        <w:spacing w:after="0"/>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consideration of the payments and benefits afforded under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after consultation with counsel, Executive and each of Executive’s respective heirs, executors, administrators, representatives, agents, successors and assigns (collectively, the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hereby irrevocably and unconditionally release and forever discharge the Company and its Affiliates and each of its officers, employees, directors and agents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200"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4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 to Release</w:t>
      </w:r>
      <w:r>
        <w:rPr>
          <w:rFonts w:ascii="Times New Roman" w:cs="Times New Roman" w:eastAsia="Times New Roman" w:hAnsi="Times New Roman"/>
          <w:sz w:val="22"/>
          <w:szCs w:val="22"/>
          <w:color w:val="auto"/>
        </w:rPr>
        <w:t>. Notwithstanding anything contained herein to the contrary,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785495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27" w:right="999" w:bottom="1440" w:gutter="0" w:footer="0" w:header="0"/>
        </w:sectPr>
      </w:pPr>
    </w:p>
    <w:bookmarkStart w:id="157" w:name="page158"/>
    <w:bookmarkEnd w:id="157"/>
    <w:p>
      <w:pPr>
        <w:jc w:val="both"/>
        <w:spacing w:after="0" w:line="239" w:lineRule="auto"/>
        <w:rPr>
          <w:sz w:val="20"/>
          <w:szCs w:val="20"/>
          <w:color w:val="auto"/>
        </w:rPr>
      </w:pPr>
      <w:r>
        <w:rPr>
          <w:rFonts w:ascii="Times New Roman" w:cs="Times New Roman" w:eastAsia="Times New Roman" w:hAnsi="Times New Roman"/>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203" w:lineRule="exact"/>
        <w:rPr>
          <w:sz w:val="20"/>
          <w:szCs w:val="20"/>
          <w:color w:val="auto"/>
        </w:rPr>
      </w:pPr>
    </w:p>
    <w:p>
      <w:pPr>
        <w:jc w:val="both"/>
        <w:ind w:firstLine="1304"/>
        <w:spacing w:after="0" w:line="233" w:lineRule="auto"/>
        <w:tabs>
          <w:tab w:leader="none" w:pos="19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Release of ADEA Claims</w:t>
      </w:r>
      <w:r>
        <w:rPr>
          <w:rFonts w:ascii="Times New Roman" w:cs="Times New Roman" w:eastAsia="Times New Roman" w:hAnsi="Times New Roman"/>
          <w:sz w:val="22"/>
          <w:szCs w:val="22"/>
          <w:color w:val="auto"/>
        </w:rPr>
        <w:t>. In further consideration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 w:cs="Times New Roman" w:eastAsia="Times New Roman" w:hAnsi="Times New Roman"/>
          <w:sz w:val="22"/>
          <w:szCs w:val="22"/>
          <w:b w:val="1"/>
          <w:bCs w:val="1"/>
          <w:color w:val="auto"/>
        </w:rPr>
        <w:t>[twenty-one (21)] [forty-five (45)]</w:t>
      </w:r>
      <w:r>
        <w:rPr>
          <w:rFonts w:ascii="Times New Roman" w:cs="Times New Roman" w:eastAsia="Times New Roman" w:hAnsi="Times New Roman"/>
          <w:sz w:val="22"/>
          <w:szCs w:val="22"/>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204"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Executive represents and warrants that Executive has not assigned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Claims being released under this Release.</w:t>
      </w:r>
    </w:p>
    <w:p>
      <w:pPr>
        <w:spacing w:after="0" w:line="176" w:lineRule="exact"/>
        <w:rPr>
          <w:rFonts w:ascii="Times New Roman" w:cs="Times New Roman" w:eastAsia="Times New Roman" w:hAnsi="Times New Roman"/>
          <w:sz w:val="22"/>
          <w:szCs w:val="22"/>
          <w:color w:val="auto"/>
        </w:rPr>
      </w:pPr>
    </w:p>
    <w:p>
      <w:pPr>
        <w:jc w:val="both"/>
        <w:ind w:firstLine="332"/>
        <w:spacing w:after="0" w:line="233" w:lineRule="auto"/>
        <w:tabs>
          <w:tab w:leader="none" w:pos="9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Proceedings</w:t>
      </w:r>
      <w:r>
        <w:rPr>
          <w:rFonts w:ascii="Times New Roman" w:cs="Times New Roman" w:eastAsia="Times New Roman" w:hAnsi="Times New Roman"/>
          <w:sz w:val="22"/>
          <w:szCs w:val="22"/>
          <w:color w:val="auto"/>
        </w:rPr>
        <w:t>. Executive has not filed, and agrees not to initiate or cause to be initiated on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any complaint, charge, claim or proceeding against the Releasees with respect to any Claims released under Section 1(a) or (c) before any local, state or federal agency, court or other body (each, individually,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and agrees not to participate voluntarily in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206" w:lineRule="exact"/>
        <w:rPr>
          <w:rFonts w:ascii="Times New Roman" w:cs="Times New Roman" w:eastAsia="Times New Roman" w:hAnsi="Times New Roman"/>
          <w:sz w:val="22"/>
          <w:szCs w:val="22"/>
          <w:color w:val="auto"/>
        </w:rPr>
      </w:pPr>
    </w:p>
    <w:p>
      <w:pPr>
        <w:ind w:firstLine="332"/>
        <w:spacing w:after="0" w:line="262" w:lineRule="auto"/>
        <w:tabs>
          <w:tab w:leader="none" w:pos="9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Clause</w:t>
      </w:r>
      <w:r>
        <w:rPr>
          <w:rFonts w:ascii="Times New Roman" w:cs="Times New Roman" w:eastAsia="Times New Roman" w:hAnsi="Times New Roman"/>
          <w:sz w:val="22"/>
          <w:szCs w:val="22"/>
          <w:color w:val="auto"/>
        </w:rPr>
        <w:t>. In the event any provision or part of this Release is found to be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8" w:name="page159"/>
    <w:bookmarkEnd w:id="158"/>
    <w:p>
      <w:pPr>
        <w:ind w:firstLine="332"/>
        <w:spacing w:after="0" w:line="262" w:lineRule="auto"/>
        <w:tabs>
          <w:tab w:leader="none" w:pos="97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color w:val="auto"/>
        </w:rPr>
        <w:t>. Nothing contained in this Release shall be deemed or construed as an admission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wrongdoing or liability on the part of the Releasees.</w:t>
      </w:r>
    </w:p>
    <w:p>
      <w:pPr>
        <w:spacing w:after="0" w:line="176" w:lineRule="exact"/>
        <w:rPr>
          <w:rFonts w:ascii="Times New Roman" w:cs="Times New Roman" w:eastAsia="Times New Roman" w:hAnsi="Times New Roman"/>
          <w:sz w:val="22"/>
          <w:szCs w:val="22"/>
          <w:color w:val="auto"/>
        </w:rPr>
      </w:pPr>
    </w:p>
    <w:p>
      <w:pPr>
        <w:jc w:val="both"/>
        <w:ind w:firstLine="332"/>
        <w:spacing w:after="0" w:line="241" w:lineRule="auto"/>
        <w:tabs>
          <w:tab w:leader="none" w:pos="97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All matters affecting this Release, including the validity thereof, are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by, and interpreted and construed in accordance with, the laws of the State of Arkansas applicable to contracts executed in and to be performed in that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w:t>
      </w:r>
    </w:p>
    <w:p>
      <w:pPr>
        <w:spacing w:after="0" w:line="198" w:lineRule="exact"/>
        <w:rPr>
          <w:rFonts w:ascii="Times New Roman" w:cs="Times New Roman" w:eastAsia="Times New Roman" w:hAnsi="Times New Roman"/>
          <w:sz w:val="22"/>
          <w:szCs w:val="22"/>
          <w:color w:val="auto"/>
        </w:rPr>
      </w:pPr>
    </w:p>
    <w:p>
      <w:pPr>
        <w:ind w:left="980" w:hanging="648"/>
        <w:spacing w:after="0"/>
        <w:tabs>
          <w:tab w:leader="none" w:pos="98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Release may be executed in counterparts and each counterpart shall be deemed an</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original.</w:t>
      </w:r>
    </w:p>
    <w:p>
      <w:pPr>
        <w:spacing w:after="0" w:line="205" w:lineRule="exact"/>
        <w:rPr>
          <w:rFonts w:ascii="Times New Roman" w:cs="Times New Roman" w:eastAsia="Times New Roman" w:hAnsi="Times New Roman"/>
          <w:sz w:val="21"/>
          <w:szCs w:val="21"/>
          <w:color w:val="auto"/>
        </w:rPr>
      </w:pPr>
    </w:p>
    <w:p>
      <w:pPr>
        <w:jc w:val="both"/>
        <w:ind w:firstLine="332"/>
        <w:spacing w:after="0" w:line="241" w:lineRule="auto"/>
        <w:tabs>
          <w:tab w:leader="none" w:pos="97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or other communications under this Release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pacing w:after="0" w:line="203" w:lineRule="exact"/>
        <w:rPr>
          <w:sz w:val="20"/>
          <w:szCs w:val="20"/>
          <w:color w:val="auto"/>
        </w:rPr>
      </w:pPr>
    </w:p>
    <w:p>
      <w:pPr>
        <w:ind w:left="1620" w:right="1660" w:firstLine="1512"/>
        <w:spacing w:after="0" w:line="258" w:lineRule="auto"/>
        <w:rPr>
          <w:sz w:val="20"/>
          <w:szCs w:val="20"/>
          <w:color w:val="auto"/>
        </w:rPr>
      </w:pPr>
      <w:r>
        <w:rPr>
          <w:rFonts w:ascii="Times New Roman" w:cs="Times New Roman" w:eastAsia="Times New Roman" w:hAnsi="Times New Roman"/>
          <w:sz w:val="22"/>
          <w:szCs w:val="22"/>
          <w:color w:val="auto"/>
        </w:rPr>
        <w:t>Executive’s last address on the books and records of the As to Employee: Company</w:t>
      </w:r>
    </w:p>
    <w:p>
      <w:pPr>
        <w:sectPr>
          <w:pgSz w:w="11900" w:h="16838" w:orient="portrait"/>
          <w:cols w:equalWidth="0" w:num="1">
            <w:col w:w="9920"/>
          </w:cols>
          <w:pgMar w:left="980" w:top="1107" w:right="999" w:bottom="1440" w:gutter="0" w:footer="0" w:header="0"/>
        </w:sectPr>
      </w:pP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As to the</w:t>
      </w:r>
    </w:p>
    <w:p>
      <w:pPr>
        <w:spacing w:after="0" w:line="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1"/>
          <w:szCs w:val="2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AS OF DATE OF RELEASE]</w:t>
      </w:r>
    </w:p>
    <w:p>
      <w:pPr>
        <w:spacing w:after="0" w:line="224" w:lineRule="exact"/>
        <w:rPr>
          <w:sz w:val="20"/>
          <w:szCs w:val="20"/>
          <w:color w:val="auto"/>
        </w:rPr>
      </w:pPr>
    </w:p>
    <w:p>
      <w:pPr>
        <w:sectPr>
          <w:pgSz w:w="11900" w:h="16838" w:orient="portrait"/>
          <w:cols w:equalWidth="0" w:num="2">
            <w:col w:w="2520" w:space="620"/>
            <w:col w:w="6780"/>
          </w:cols>
          <w:pgMar w:left="980" w:top="1107" w:right="999" w:bottom="1440" w:gutter="0" w:footer="0" w:header="0"/>
          <w:type w:val="continuous"/>
        </w:sectPr>
      </w:pP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Executive has executed this Release on the date set forth below.</w:t>
      </w:r>
    </w:p>
    <w:p>
      <w:pPr>
        <w:sectPr>
          <w:pgSz w:w="11900" w:h="16838" w:orient="portrait"/>
          <w:cols w:equalWidth="0" w:num="1">
            <w:col w:w="9479"/>
          </w:cols>
          <w:pgMar w:left="980" w:top="110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3145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7" w:right="1440"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August 26,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Blake Schuhmacher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enter into this Agreement to set forth the terms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to the Company.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the mutual promises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acknowledged, the Parties agree as follows:</w:t>
      </w:r>
    </w:p>
    <w:p>
      <w:pPr>
        <w:spacing w:after="0" w:line="150" w:lineRule="exact"/>
        <w:rPr>
          <w:sz w:val="20"/>
          <w:szCs w:val="20"/>
          <w:color w:val="auto"/>
        </w:rPr>
      </w:pPr>
    </w:p>
    <w:p>
      <w:pPr>
        <w:jc w:val="both"/>
        <w:ind w:firstLine="1304"/>
        <w:spacing w:after="0" w:line="234"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 The Company agrees to employ Executive, and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the Company and its Affiliates (as defined below), subject to the terms and conditions of this Agreement, for the period commencing on the Effective Date and ending on the third anniversary of the Effective Date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commencing on the first anniversary of the Effective Date, and on each annual anniversary thereafter (such date and each annual anniversary thereof shall be hereinafter referred to as the “</w:t>
      </w:r>
      <w:r>
        <w:rPr>
          <w:rFonts w:ascii="Times New Roman" w:cs="Times New Roman" w:eastAsia="Times New Roman" w:hAnsi="Times New Roman"/>
          <w:sz w:val="22"/>
          <w:szCs w:val="22"/>
          <w:b w:val="1"/>
          <w:bCs w:val="1"/>
          <w:color w:val="auto"/>
        </w:rPr>
        <w:t>Renewal Date</w:t>
      </w:r>
      <w:r>
        <w:rPr>
          <w:rFonts w:ascii="Times New Roman" w:cs="Times New Roman" w:eastAsia="Times New Roman" w:hAnsi="Times New Roman"/>
          <w:sz w:val="22"/>
          <w:szCs w:val="22"/>
          <w:color w:val="auto"/>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 w:cs="Times New Roman" w:eastAsia="Times New Roman" w:hAnsi="Times New Roman"/>
          <w:sz w:val="22"/>
          <w:szCs w:val="22"/>
          <w:b w:val="1"/>
          <w:bCs w:val="1"/>
          <w:color w:val="auto"/>
        </w:rPr>
        <w:t>Notice of Non-Renewal</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 entity controlled by, controlling or under common control with the Company.</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 Location; Standard of Services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 During the Employment Period, Executive shall serve as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Officer of the Company and shall perform customary and appropriate duties as may be reasonably assigned to Executive from time to time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Chief Executive Officer of the Company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shall have such responsibilities, power and authority as those normally associated with such position in public companies of a similar stature.</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Location</w:t>
      </w:r>
      <w:r>
        <w:rPr>
          <w:rFonts w:ascii="Times New Roman" w:cs="Times New Roman" w:eastAsia="Times New Roman" w:hAnsi="Times New Roman"/>
          <w:sz w:val="22"/>
          <w:szCs w:val="22"/>
          <w:color w:val="auto"/>
        </w:rPr>
        <w:t>. During the Employment Period, Executive’s principal place of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the Company’s headquarters in Little Rock, Arkansas, subject to reasonable business travel at the Company’s request.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Standard of Services</w:t>
      </w:r>
      <w:r>
        <w:rPr>
          <w:rFonts w:ascii="Times New Roman" w:cs="Times New Roman" w:eastAsia="Times New Roman" w:hAnsi="Times New Roman"/>
          <w:sz w:val="21"/>
          <w:szCs w:val="21"/>
          <w:color w:val="auto"/>
        </w:rPr>
        <w:t>. During the Employment Period, Executive agrees to devote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61" w:name="page162"/>
    <w:bookmarkEnd w:id="161"/>
    <w:p>
      <w:pPr>
        <w:ind w:right="20"/>
        <w:spacing w:after="0" w:line="258" w:lineRule="auto"/>
        <w:rPr>
          <w:sz w:val="20"/>
          <w:szCs w:val="20"/>
          <w:color w:val="auto"/>
        </w:rPr>
      </w:pPr>
      <w:r>
        <w:rPr>
          <w:rFonts w:ascii="Times New Roman" w:cs="Times New Roman" w:eastAsia="Times New Roman" w:hAnsi="Times New Roman"/>
          <w:sz w:val="22"/>
          <w:szCs w:val="22"/>
          <w:color w:val="auto"/>
        </w:rPr>
        <w:t>with the Company in the future, in each case, so long as such activities do not materially interfere with the performance of Executive’s responsibilities in accordance with this Agreement.</w:t>
      </w:r>
    </w:p>
    <w:p>
      <w:pPr>
        <w:spacing w:after="0" w:line="154" w:lineRule="exact"/>
        <w:rPr>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Employee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7" w:lineRule="auto"/>
        <w:tabs>
          <w:tab w:leader="none" w:pos="19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Base Salary</w:t>
      </w:r>
      <w:r>
        <w:rPr>
          <w:rFonts w:ascii="Times New Roman" w:cs="Times New Roman" w:eastAsia="Times New Roman" w:hAnsi="Times New Roman"/>
          <w:sz w:val="22"/>
          <w:szCs w:val="22"/>
          <w:color w:val="auto"/>
        </w:rPr>
        <w:t>. During the Employment Period, Executive shall receive an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(the “</w:t>
      </w:r>
      <w:r>
        <w:rPr>
          <w:rFonts w:ascii="Times New Roman" w:cs="Times New Roman" w:eastAsia="Times New Roman" w:hAnsi="Times New Roman"/>
          <w:sz w:val="22"/>
          <w:szCs w:val="22"/>
          <w:b w:val="1"/>
          <w:bCs w:val="1"/>
          <w:color w:val="auto"/>
        </w:rPr>
        <w:t>Annual Base Salary</w:t>
      </w:r>
      <w:r>
        <w:rPr>
          <w:rFonts w:ascii="Times New Roman" w:cs="Times New Roman" w:eastAsia="Times New Roman" w:hAnsi="Times New Roman"/>
          <w:sz w:val="22"/>
          <w:szCs w:val="22"/>
          <w:color w:val="auto"/>
        </w:rPr>
        <w:t>”) of no less than $300,000, payable in accordance with the Company’s regular payroll practices. The Annual Base Salary shall be reviewed at least annually by the Board or an appropriate committee thereof (the Board or such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for possible increase, as determined in the discretion of the Committee. The term “Annual Base Salary” as used in this Agreement shall refer to the Annual Base Salary as it may be so adjusted from time to time.</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During the Employment Period, Executive shall have the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 for each fiscal year of the Company, an annual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pursuant to the terms of an annual incentive plan for senior executives of the Company, as in effect from time to time. Executive’s target Annual Bonus opportunity shall be 60% of the Annual Base Salary.</w:t>
      </w:r>
    </w:p>
    <w:p>
      <w:pPr>
        <w:spacing w:after="0" w:line="171"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Incentives</w:t>
      </w:r>
      <w:r>
        <w:rPr>
          <w:rFonts w:ascii="Times New Roman" w:cs="Times New Roman" w:eastAsia="Times New Roman" w:hAnsi="Times New Roman"/>
          <w:sz w:val="22"/>
          <w:szCs w:val="22"/>
          <w:color w:val="auto"/>
        </w:rPr>
        <w:t>. Executive shall be eligible to participate in the Company’s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in effect from time to time.</w:t>
      </w:r>
    </w:p>
    <w:p>
      <w:pPr>
        <w:spacing w:after="0" w:line="14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Employee Benefit Plans</w:t>
      </w:r>
      <w:r>
        <w:rPr>
          <w:rFonts w:ascii="Times New Roman" w:cs="Times New Roman" w:eastAsia="Times New Roman" w:hAnsi="Times New Roman"/>
          <w:sz w:val="22"/>
          <w:szCs w:val="22"/>
          <w:color w:val="auto"/>
        </w:rPr>
        <w:t>. During the Employment Period, Executive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Executive shall be entitled to receive prompt reimbursement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(including travel, entertainment, professional dues and subscriptions) incurred by Executive, in accordance with the Company’s policies as in effect from time to time.</w:t>
      </w:r>
    </w:p>
    <w:p>
      <w:pPr>
        <w:spacing w:after="0" w:line="167" w:lineRule="exact"/>
        <w:rPr>
          <w:sz w:val="20"/>
          <w:szCs w:val="20"/>
          <w:color w:val="auto"/>
        </w:rPr>
      </w:pPr>
    </w:p>
    <w:p>
      <w:pPr>
        <w:ind w:left="1960" w:hanging="656"/>
        <w:spacing w:after="0"/>
        <w:tabs>
          <w:tab w:leader="none" w:pos="19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Executive’s employment shall terminate automatically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after Executive’s receipt of such notice (the “</w:t>
      </w:r>
      <w:r>
        <w:rPr>
          <w:rFonts w:ascii="Times New Roman" w:cs="Times New Roman" w:eastAsia="Times New Roman" w:hAnsi="Times New Roman"/>
          <w:sz w:val="22"/>
          <w:szCs w:val="22"/>
          <w:b w:val="1"/>
          <w:bCs w:val="1"/>
          <w:color w:val="auto"/>
        </w:rPr>
        <w:t>Disability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absence of Executive from Executive’s duties with the Company on a full-time basis for 120 consecutive days, or for 180 days (which need not be consecutive) within a 365-day period, as a result of incapacity due to mental or physical illness.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2" w:name="page163"/>
    <w:bookmarkEnd w:id="162"/>
    <w:p>
      <w:pPr>
        <w:ind w:firstLine="1304"/>
        <w:spacing w:after="0" w:line="262"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Cause</w:t>
      </w:r>
      <w:r>
        <w:rPr>
          <w:rFonts w:ascii="Times New Roman" w:cs="Times New Roman" w:eastAsia="Times New Roman" w:hAnsi="Times New Roman"/>
          <w:sz w:val="22"/>
          <w:szCs w:val="22"/>
          <w:color w:val="auto"/>
        </w:rPr>
        <w:t>. The Company may terminate Executive’s employment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Period either with or without Cause.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53"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substantially perform Executive’s duties;</w:t>
      </w:r>
    </w:p>
    <w:p>
      <w:pPr>
        <w:spacing w:after="0" w:line="206"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of fraud, misappropriation, dishonesty, malfeasance or embezzlement by</w:t>
      </w:r>
    </w:p>
    <w:p>
      <w:pPr>
        <w:spacing w:after="0" w:line="25" w:lineRule="exact"/>
        <w:rPr>
          <w:rFonts w:ascii="Times New Roman" w:cs="Times New Roman" w:eastAsia="Times New Roman" w:hAnsi="Times New Roman"/>
          <w:sz w:val="21"/>
          <w:szCs w:val="21"/>
          <w:color w:val="auto"/>
        </w:rPr>
      </w:pP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 in connection with the performance of Executive’s duties to the Company;</w:t>
      </w:r>
    </w:p>
    <w:p>
      <w:pPr>
        <w:spacing w:after="0" w:line="182" w:lineRule="exact"/>
        <w:rPr>
          <w:rFonts w:ascii="Times New Roman" w:cs="Times New Roman" w:eastAsia="Times New Roman" w:hAnsi="Times New Roman"/>
          <w:sz w:val="21"/>
          <w:szCs w:val="21"/>
          <w:color w:val="auto"/>
        </w:rPr>
      </w:pPr>
    </w:p>
    <w:p>
      <w:pPr>
        <w:ind w:left="340" w:firstLine="1936"/>
        <w:spacing w:after="0" w:line="258" w:lineRule="auto"/>
        <w:tabs>
          <w:tab w:leader="none" w:pos="293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any policies of the Company or any restrictive covenants applicable to Executive; or</w:t>
      </w:r>
    </w:p>
    <w:p>
      <w:pPr>
        <w:spacing w:after="0" w:line="154"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conviction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novo </w:t>
      </w:r>
      <w:r>
        <w:rPr>
          <w:rFonts w:ascii="Times New Roman" w:cs="Times New Roman" w:eastAsia="Times New Roman" w:hAnsi="Times New Roman"/>
          <w:sz w:val="22"/>
          <w:szCs w:val="22"/>
          <w:color w:val="auto"/>
        </w:rPr>
        <w:t>review by a court of law pursuant to the dispute provisions of Section 11(a).</w:t>
      </w:r>
    </w:p>
    <w:p>
      <w:pPr>
        <w:spacing w:after="0" w:line="181" w:lineRule="exact"/>
        <w:rPr>
          <w:sz w:val="20"/>
          <w:szCs w:val="20"/>
          <w:color w:val="auto"/>
        </w:rPr>
      </w:pPr>
    </w:p>
    <w:p>
      <w:pPr>
        <w:jc w:val="both"/>
        <w:ind w:firstLine="1304"/>
        <w:spacing w:after="0" w:line="241"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 or Without Good Reason</w:t>
      </w:r>
      <w:r>
        <w:rPr>
          <w:rFonts w:ascii="Times New Roman" w:cs="Times New Roman" w:eastAsia="Times New Roman" w:hAnsi="Times New Roman"/>
          <w:sz w:val="22"/>
          <w:szCs w:val="22"/>
          <w:color w:val="auto"/>
        </w:rPr>
        <w:t>. Executive’s employment may be terminated by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with or without Good Reason. 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voluntary resignation after any of the following actions are taken by the Company or any of its Affiliates without Executive’s written consent:</w:t>
      </w:r>
    </w:p>
    <w:p>
      <w:pPr>
        <w:spacing w:after="0" w:line="175"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authority, duties or responsibilities;</w:t>
      </w:r>
    </w:p>
    <w:p>
      <w:pPr>
        <w:spacing w:after="0" w:line="206"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Annual Base Salary or target Annual Bonus</w:t>
      </w:r>
    </w:p>
    <w:p>
      <w:pPr>
        <w:spacing w:after="0" w:line="14" w:lineRule="exact"/>
        <w:rPr>
          <w:rFonts w:ascii="Times New Roman" w:cs="Times New Roman" w:eastAsia="Times New Roman" w:hAnsi="Times New Roman"/>
          <w:sz w:val="22"/>
          <w:szCs w:val="22"/>
          <w:color w:val="auto"/>
        </w:rPr>
      </w:pPr>
    </w:p>
    <w:p>
      <w:pPr>
        <w:ind w:left="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opportunity;</w:t>
      </w:r>
    </w:p>
    <w:p>
      <w:pPr>
        <w:spacing w:after="0" w:line="182"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Executive’s primary place of employment by more than 25 miles</w:t>
      </w:r>
    </w:p>
    <w:p>
      <w:pPr>
        <w:spacing w:after="0" w:line="25" w:lineRule="exact"/>
        <w:rPr>
          <w:rFonts w:ascii="Times New Roman" w:cs="Times New Roman" w:eastAsia="Times New Roman" w:hAnsi="Times New Roman"/>
          <w:sz w:val="21"/>
          <w:szCs w:val="21"/>
          <w:color w:val="auto"/>
        </w:rPr>
      </w:pP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from Executive’s primary place of employment as set forth in this Agreement; or</w:t>
      </w:r>
    </w:p>
    <w:p>
      <w:pPr>
        <w:spacing w:after="0" w:line="182" w:lineRule="exact"/>
        <w:rPr>
          <w:rFonts w:ascii="Times New Roman" w:cs="Times New Roman" w:eastAsia="Times New Roman" w:hAnsi="Times New Roman"/>
          <w:sz w:val="21"/>
          <w:szCs w:val="21"/>
          <w:color w:val="auto"/>
        </w:rPr>
      </w:pPr>
    </w:p>
    <w:p>
      <w:pPr>
        <w:ind w:left="2920" w:hanging="644"/>
        <w:spacing w:after="0"/>
        <w:tabs>
          <w:tab w:leader="none" w:pos="292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violation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63" w:name="page164"/>
    <w:bookmarkEnd w:id="163"/>
    <w:p>
      <w:pPr>
        <w:jc w:val="both"/>
        <w:ind w:firstLine="12"/>
        <w:spacing w:after="0" w:line="247" w:lineRule="auto"/>
        <w:rPr>
          <w:sz w:val="20"/>
          <w:szCs w:val="20"/>
          <w:color w:val="auto"/>
        </w:rPr>
      </w:pPr>
      <w:r>
        <w:rPr>
          <w:rFonts w:ascii="Times New Roman" w:cs="Times New Roman" w:eastAsia="Times New Roman" w:hAnsi="Times New Roman"/>
          <w:sz w:val="21"/>
          <w:szCs w:val="21"/>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68" w:lineRule="exact"/>
        <w:rPr>
          <w:sz w:val="20"/>
          <w:szCs w:val="20"/>
          <w:color w:val="auto"/>
        </w:rPr>
      </w:pPr>
    </w:p>
    <w:p>
      <w:pPr>
        <w:jc w:val="both"/>
        <w:ind w:firstLine="1304"/>
        <w:spacing w:after="0" w:line="241"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Executive’s employment may be terminated by Executive due to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shall mean Executive’s voluntary resignation at a time when the sum of Executive’s age and years of service equal at least 70,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has attained at least age 55 with at least 10 years of service with the Company or any predecessor or successor entity.</w:t>
      </w:r>
    </w:p>
    <w:p>
      <w:pPr>
        <w:spacing w:after="0" w:line="171" w:lineRule="exact"/>
        <w:rPr>
          <w:rFonts w:ascii="Times New Roman" w:cs="Times New Roman" w:eastAsia="Times New Roman" w:hAnsi="Times New Roman"/>
          <w:sz w:val="22"/>
          <w:szCs w:val="22"/>
          <w:color w:val="auto"/>
        </w:rPr>
      </w:pPr>
    </w:p>
    <w:p>
      <w:pPr>
        <w:jc w:val="both"/>
        <w:ind w:firstLine="1317"/>
        <w:spacing w:after="0" w:line="235" w:lineRule="auto"/>
        <w:tabs>
          <w:tab w:leader="none" w:pos="1944"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without Cause, or by Executive with or without Good Reason or due to Retirement, shall be communicated by Notice of Termination to the other party hereto given in accordance with Section 11(b).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Date of Termination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Date of Termination</w:t>
      </w:r>
      <w:r>
        <w:rPr>
          <w:rFonts w:ascii="Times New Roman" w:cs="Times New Roman" w:eastAsia="Times New Roman" w:hAnsi="Times New Roman"/>
          <w:sz w:val="21"/>
          <w:szCs w:val="21"/>
          <w:color w:val="auto"/>
        </w:rPr>
        <w:t>” means (i) 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receipt of the Notice of Termination or any later date specified therein or</w:t>
      </w:r>
    </w:p>
    <w:p>
      <w:pPr>
        <w:ind w:firstLine="8"/>
        <w:spacing w:after="0" w:line="237" w:lineRule="auto"/>
        <w:tabs>
          <w:tab w:leader="none" w:pos="3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reason of death or Disability, the Date of Termination shall be the date of death of Executive or the Disability Effective Date, as the case may be.</w:t>
      </w:r>
    </w:p>
    <w:p>
      <w:pPr>
        <w:spacing w:after="0" w:line="174" w:lineRule="exact"/>
        <w:rPr>
          <w:sz w:val="20"/>
          <w:szCs w:val="20"/>
          <w:color w:val="auto"/>
        </w:rPr>
      </w:pPr>
    </w:p>
    <w:p>
      <w:pPr>
        <w:ind w:left="1960" w:hanging="650"/>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Obligations of the Company upon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 Other Than for Cause, Death or Disability</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the Company and its Affiliates shall pay to Executive the following:</w:t>
      </w:r>
    </w:p>
    <w:p>
      <w:pPr>
        <w:spacing w:after="0" w:line="180" w:lineRule="exact"/>
        <w:rPr>
          <w:rFonts w:ascii="Times New Roman" w:cs="Times New Roman" w:eastAsia="Times New Roman" w:hAnsi="Times New Roman"/>
          <w:sz w:val="22"/>
          <w:szCs w:val="22"/>
          <w:color w:val="auto"/>
        </w:rPr>
      </w:pPr>
    </w:p>
    <w:p>
      <w:pPr>
        <w:ind w:left="340" w:right="20" w:firstLine="1936"/>
        <w:spacing w:after="0" w:line="258" w:lineRule="auto"/>
        <w:tabs>
          <w:tab w:leader="none" w:pos="293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portion of the Annual Base Salary due for the period through the Date of Termination to the extent not theretofore paid, (B) any accrued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21"/>
          <w:szCs w:val="21"/>
          <w:color w:val="auto"/>
        </w:rPr>
        <w:t>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which Accrued Obligations shall be paid in a lump sum in cash within 60 days following the Date of Termination;</w:t>
      </w:r>
    </w:p>
    <w:p>
      <w:pPr>
        <w:spacing w:after="0" w:line="162" w:lineRule="exact"/>
        <w:rPr>
          <w:sz w:val="20"/>
          <w:szCs w:val="20"/>
          <w:color w:val="auto"/>
        </w:rPr>
      </w:pPr>
    </w:p>
    <w:p>
      <w:pPr>
        <w:jc w:val="both"/>
        <w:ind w:left="340" w:firstLine="1936"/>
        <w:spacing w:after="0" w:line="239" w:lineRule="auto"/>
        <w:tabs>
          <w:tab w:leader="none" w:pos="2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earned by Executive in respect of the fiscal year of the Company that was completed on or prior to the Date of Termination (the “</w:t>
      </w:r>
      <w:r>
        <w:rPr>
          <w:rFonts w:ascii="Times New Roman" w:cs="Times New Roman" w:eastAsia="Times New Roman" w:hAnsi="Times New Roman"/>
          <w:sz w:val="22"/>
          <w:szCs w:val="22"/>
          <w:b w:val="1"/>
          <w:bCs w:val="1"/>
          <w:color w:val="auto"/>
        </w:rPr>
        <w:t>Unpaid Annual Bonus</w:t>
      </w:r>
      <w:r>
        <w:rPr>
          <w:rFonts w:ascii="Times New Roman" w:cs="Times New Roman" w:eastAsia="Times New Roman" w:hAnsi="Times New Roman"/>
          <w:sz w:val="22"/>
          <w:szCs w:val="22"/>
          <w:color w:val="auto"/>
        </w:rPr>
        <w:t>”), which Unpaid Annual Bonus shall be paid in a lump sum in cash no later than March 15 following the year in which it was earned;</w:t>
      </w:r>
    </w:p>
    <w:p>
      <w:pPr>
        <w:spacing w:after="0" w:line="180" w:lineRule="exact"/>
        <w:rPr>
          <w:rFonts w:ascii="Times New Roman" w:cs="Times New Roman" w:eastAsia="Times New Roman" w:hAnsi="Times New Roman"/>
          <w:sz w:val="22"/>
          <w:szCs w:val="22"/>
          <w:color w:val="auto"/>
        </w:rPr>
      </w:pPr>
    </w:p>
    <w:p>
      <w:pPr>
        <w:jc w:val="both"/>
        <w:ind w:left="340" w:firstLine="1936"/>
        <w:spacing w:after="0" w:line="234" w:lineRule="auto"/>
        <w:tabs>
          <w:tab w:leader="none" w:pos="2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 w:cs="Times New Roman" w:eastAsia="Times New Roman" w:hAnsi="Times New Roman"/>
          <w:sz w:val="22"/>
          <w:szCs w:val="22"/>
          <w:b w:val="1"/>
          <w:bCs w:val="1"/>
          <w:color w:val="auto"/>
        </w:rPr>
        <w:t>Prorated Annual Bonus</w:t>
      </w:r>
      <w:r>
        <w:rPr>
          <w:rFonts w:ascii="Times New Roman" w:cs="Times New Roman" w:eastAsia="Times New Roman" w:hAnsi="Times New Roman"/>
          <w:sz w:val="22"/>
          <w:szCs w:val="22"/>
          <w:color w:val="auto"/>
        </w:rPr>
        <w:t xml:space="preserve">”), which Prorated Annual Bonus shall be paid in a lump sum in cash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3" w:lineRule="exact"/>
        <w:rPr>
          <w:rFonts w:ascii="Times New Roman" w:cs="Times New Roman" w:eastAsia="Times New Roman" w:hAnsi="Times New Roman"/>
          <w:sz w:val="22"/>
          <w:szCs w:val="22"/>
          <w:color w:val="auto"/>
        </w:rPr>
      </w:pPr>
    </w:p>
    <w:p>
      <w:pPr>
        <w:jc w:val="both"/>
        <w:ind w:left="340" w:firstLine="1936"/>
        <w:spacing w:after="0" w:line="249" w:lineRule="auto"/>
        <w:tabs>
          <w:tab w:leader="none" w:pos="293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product of (A) the Severance Multiple (as defined below) </w:t>
      </w:r>
      <w:r>
        <w:rPr>
          <w:rFonts w:ascii="Times New Roman" w:cs="Times New Roman" w:eastAsia="Times New Roman" w:hAnsi="Times New Roman"/>
          <w:sz w:val="21"/>
          <w:szCs w:val="21"/>
          <w:i w:val="1"/>
          <w:iCs w:val="1"/>
          <w:color w:val="auto"/>
        </w:rPr>
        <w:t xml:space="preserve">multiplied by </w:t>
      </w:r>
      <w:r>
        <w:rPr>
          <w:rFonts w:ascii="Times New Roman" w:cs="Times New Roman" w:eastAsia="Times New Roman" w:hAnsi="Times New Roman"/>
          <w:sz w:val="21"/>
          <w:szCs w:val="21"/>
          <w:color w:val="auto"/>
        </w:rPr>
        <w:t>(B) the sum of (x) the Annual Base Salary and (y) the target Annual Bonus opportunity as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 for the fiscal year of the Company in which the Date of Termination occurs, which amount shall be paid in a lump sum in cash on the first regularly scheduled payroll date following the effective date of the Release,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70" w:lineRule="exact"/>
        <w:rPr>
          <w:rFonts w:ascii="Times New Roman" w:cs="Times New Roman" w:eastAsia="Times New Roman" w:hAnsi="Times New Roman"/>
          <w:sz w:val="21"/>
          <w:szCs w:val="21"/>
          <w:color w:val="auto"/>
        </w:rPr>
      </w:pPr>
    </w:p>
    <w:p>
      <w:pPr>
        <w:jc w:val="both"/>
        <w:ind w:left="340" w:firstLine="1936"/>
        <w:spacing w:after="0" w:line="235" w:lineRule="auto"/>
        <w:tabs>
          <w:tab w:leader="none" w:pos="2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183" w:lineRule="exact"/>
        <w:rPr>
          <w:rFonts w:ascii="Times New Roman" w:cs="Times New Roman" w:eastAsia="Times New Roman" w:hAnsi="Times New Roman"/>
          <w:sz w:val="22"/>
          <w:szCs w:val="22"/>
          <w:color w:val="auto"/>
        </w:rPr>
      </w:pPr>
    </w:p>
    <w:p>
      <w:pPr>
        <w:jc w:val="both"/>
        <w:ind w:left="340" w:firstLine="1936"/>
        <w:spacing w:after="0" w:line="236" w:lineRule="auto"/>
        <w:tabs>
          <w:tab w:leader="none" w:pos="2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 w:cs="Times New Roman" w:eastAsia="Times New Roman" w:hAnsi="Times New Roman"/>
          <w:sz w:val="22"/>
          <w:szCs w:val="22"/>
          <w:b w:val="1"/>
          <w:bCs w:val="1"/>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20" w:firstLine="6"/>
        <w:spacing w:after="0" w:line="262"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Severance Multiple</w:t>
      </w:r>
      <w:r>
        <w:rPr>
          <w:rFonts w:ascii="Times New Roman" w:cs="Times New Roman" w:eastAsia="Times New Roman" w:hAnsi="Times New Roman"/>
          <w:sz w:val="22"/>
          <w:szCs w:val="22"/>
          <w:color w:val="auto"/>
        </w:rPr>
        <w:t>” shall mean one, unless a termination contemplated by this Section 5(a) occurs within one year following a Change in Control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5" w:name="page166"/>
    <w:bookmarkEnd w:id="16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Westrock Coffee Company 2022 Equity Incentive Plan, as in effect on the Effective Date), in which case it shall mean two.</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79" w:lineRule="exact"/>
        <w:rPr>
          <w:sz w:val="20"/>
          <w:szCs w:val="20"/>
          <w:color w:val="auto"/>
        </w:rPr>
      </w:pPr>
    </w:p>
    <w:p>
      <w:pPr>
        <w:jc w:val="both"/>
        <w:ind w:firstLine="1304"/>
        <w:spacing w:after="0" w:line="236"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Retirement</w:t>
      </w:r>
      <w:r>
        <w:rPr>
          <w:rFonts w:ascii="Times New Roman" w:cs="Times New Roman" w:eastAsia="Times New Roman" w:hAnsi="Times New Roman"/>
          <w:sz w:val="22"/>
          <w:szCs w:val="22"/>
          <w:color w:val="auto"/>
        </w:rPr>
        <w:t>. If Executive’s employment is terminated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5"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Termination</w:t>
      </w:r>
      <w:r>
        <w:rPr>
          <w:rFonts w:ascii="Times New Roman" w:cs="Times New Roman" w:eastAsia="Times New Roman" w:hAnsi="Times New Roman"/>
          <w:sz w:val="22"/>
          <w:szCs w:val="22"/>
          <w:color w:val="auto"/>
        </w:rPr>
        <w:t>. If Executive’s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7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Settlement</w:t>
      </w:r>
      <w:r>
        <w:rPr>
          <w:rFonts w:ascii="Times New Roman" w:cs="Times New Roman" w:eastAsia="Times New Roman" w:hAnsi="Times New Roman"/>
          <w:sz w:val="22"/>
          <w:szCs w:val="22"/>
          <w:color w:val="auto"/>
        </w:rPr>
        <w:t>. The payments and benefits provided under this Section 5 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72" w:lineRule="exact"/>
        <w:rPr>
          <w:sz w:val="20"/>
          <w:szCs w:val="20"/>
          <w:color w:val="auto"/>
        </w:rPr>
      </w:pPr>
    </w:p>
    <w:p>
      <w:pPr>
        <w:jc w:val="both"/>
        <w:ind w:firstLine="1304"/>
        <w:spacing w:after="0" w:line="246"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Mitigation</w:t>
      </w:r>
      <w:r>
        <w:rPr>
          <w:rFonts w:ascii="Times New Roman" w:cs="Times New Roman" w:eastAsia="Times New Roman" w:hAnsi="Times New Roman"/>
          <w:sz w:val="22"/>
          <w:szCs w:val="22"/>
          <w:color w:val="auto"/>
        </w:rPr>
        <w:t>. In no event shall Executive be obligated to seek other employment or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action by way of mitigation of any amounts payable to Executive under Section 5 and such amounts shall not be reduced whether or not Executive obtains other employment.</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Executive shall hold in a fiduciary capacity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After termination of Executive’s employment with the Company, Executive shall not,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6" w:name="page167"/>
    <w:bookmarkEnd w:id="166"/>
    <w:p>
      <w:pPr>
        <w:jc w:val="both"/>
        <w:spacing w:after="0" w:line="235" w:lineRule="auto"/>
        <w:rPr>
          <w:sz w:val="20"/>
          <w:szCs w:val="20"/>
          <w:color w:val="auto"/>
        </w:rPr>
      </w:pPr>
      <w:r>
        <w:rPr>
          <w:rFonts w:ascii="Times New Roman" w:cs="Times New Roman" w:eastAsia="Times New Roman" w:hAnsi="Times New Roman"/>
          <w:sz w:val="22"/>
          <w:szCs w:val="22"/>
          <w:color w:val="auto"/>
        </w:rPr>
        <w:t>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74" w:lineRule="exact"/>
        <w:rPr>
          <w:sz w:val="20"/>
          <w:szCs w:val="20"/>
          <w:color w:val="auto"/>
        </w:rPr>
      </w:pPr>
    </w:p>
    <w:p>
      <w:pPr>
        <w:jc w:val="both"/>
        <w:ind w:firstLine="1304"/>
        <w:spacing w:after="0" w:line="233"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Patents</w:t>
      </w:r>
      <w:r>
        <w:rPr>
          <w:rFonts w:ascii="Times New Roman" w:cs="Times New Roman" w:eastAsia="Times New Roman" w:hAnsi="Times New Roman"/>
          <w:sz w:val="22"/>
          <w:szCs w:val="22"/>
          <w:color w:val="auto"/>
        </w:rPr>
        <w:t>. Executive agrees that all inventions, innovations,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182"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During the period commencing on the Effective Date and ending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anniversary of the Date of Termination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179"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Executive acknowledges that, in the course of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Executive has become familiar, or shall become familiar, with the Company’s and its Affiliates’ trade secrets and with other Confidential Information concerning the Company, its Affiliates and their respective predecessors,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7" w:name="page168"/>
    <w:bookmarkEnd w:id="167"/>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Times New Roman" w:cs="Times New Roman" w:eastAsia="Times New Roman" w:hAnsi="Times New Roman"/>
          <w:sz w:val="21"/>
          <w:szCs w:val="21"/>
          <w:i w:val="1"/>
          <w:iCs w:val="1"/>
          <w:color w:val="auto"/>
        </w:rPr>
        <w:t>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minimis </w:t>
      </w:r>
      <w:r>
        <w:rPr>
          <w:rFonts w:ascii="Times New Roman" w:cs="Times New Roman" w:eastAsia="Times New Roman" w:hAnsi="Times New Roman"/>
          <w:sz w:val="21"/>
          <w:szCs w:val="21"/>
          <w:color w:val="auto"/>
        </w:rPr>
        <w:t>activities) at any time during the one-year period ending with the Date of Termination, in any locale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173" w:lineRule="exact"/>
        <w:rPr>
          <w:sz w:val="20"/>
          <w:szCs w:val="20"/>
          <w:color w:val="auto"/>
        </w:rPr>
      </w:pPr>
    </w:p>
    <w:p>
      <w:pPr>
        <w:jc w:val="both"/>
        <w:ind w:firstLine="1304"/>
        <w:spacing w:after="0" w:line="247" w:lineRule="auto"/>
        <w:tabs>
          <w:tab w:leader="none" w:pos="194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From and following the Effective Date: (i) Executive shall not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71"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Executive acknowledges that all documents, records, files,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Trade Secrets; Whistleblower Rights</w:t>
      </w:r>
      <w:r>
        <w:rPr>
          <w:rFonts w:ascii="Times New Roman" w:cs="Times New Roman" w:eastAsia="Times New Roman" w:hAnsi="Times New Roman"/>
          <w:sz w:val="21"/>
          <w:szCs w:val="21"/>
          <w:color w:val="auto"/>
        </w:rPr>
        <w:t>. The Company hereby informs Executive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8" w:name="page169"/>
    <w:bookmarkEnd w:id="168"/>
    <w:p>
      <w:pPr>
        <w:jc w:val="both"/>
        <w:spacing w:after="0" w:line="238" w:lineRule="auto"/>
        <w:rPr>
          <w:sz w:val="20"/>
          <w:szCs w:val="20"/>
          <w:color w:val="auto"/>
        </w:rPr>
      </w:pPr>
      <w:r>
        <w:rPr>
          <w:rFonts w:ascii="Times New Roman" w:cs="Times New Roman" w:eastAsia="Times New Roman" w:hAnsi="Times New Roman"/>
          <w:sz w:val="22"/>
          <w:szCs w:val="22"/>
          <w:color w:val="auto"/>
        </w:rPr>
        <w:t>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73" w:lineRule="exact"/>
        <w:rPr>
          <w:sz w:val="20"/>
          <w:szCs w:val="20"/>
          <w:color w:val="auto"/>
        </w:rPr>
      </w:pPr>
    </w:p>
    <w:p>
      <w:pPr>
        <w:ind w:left="1960" w:hanging="656"/>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Covenants Generally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40" w:firstLine="1936"/>
        <w:spacing w:after="0" w:line="247" w:lineRule="auto"/>
        <w:tabs>
          <w:tab w:leader="none" w:pos="2932"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covenants as set forth in this Section 7 are from time to time referred to herein as the “</w:t>
      </w:r>
      <w:r>
        <w:rPr>
          <w:rFonts w:ascii="Times New Roman" w:cs="Times New Roman" w:eastAsia="Times New Roman" w:hAnsi="Times New Roman"/>
          <w:sz w:val="21"/>
          <w:szCs w:val="21"/>
          <w:b w:val="1"/>
          <w:bCs w:val="1"/>
          <w:color w:val="auto"/>
        </w:rPr>
        <w:t>Executive Covenants</w:t>
      </w:r>
      <w:r>
        <w:rPr>
          <w:rFonts w:ascii="Times New Roman" w:cs="Times New Roman" w:eastAsia="Times New Roman" w:hAnsi="Times New Roman"/>
          <w:sz w:val="21"/>
          <w:szCs w:val="21"/>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71" w:lineRule="exact"/>
        <w:rPr>
          <w:rFonts w:ascii="Times New Roman" w:cs="Times New Roman" w:eastAsia="Times New Roman" w:hAnsi="Times New Roman"/>
          <w:sz w:val="21"/>
          <w:szCs w:val="21"/>
          <w:color w:val="auto"/>
        </w:rPr>
      </w:pPr>
    </w:p>
    <w:p>
      <w:pPr>
        <w:jc w:val="both"/>
        <w:ind w:left="340" w:firstLine="1936"/>
        <w:spacing w:after="0" w:line="238" w:lineRule="auto"/>
        <w:tabs>
          <w:tab w:leader="none" w:pos="2932"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76" w:lineRule="exact"/>
        <w:rPr>
          <w:rFonts w:ascii="Times New Roman" w:cs="Times New Roman" w:eastAsia="Times New Roman" w:hAnsi="Times New Roman"/>
          <w:sz w:val="22"/>
          <w:szCs w:val="22"/>
          <w:color w:val="auto"/>
        </w:rPr>
      </w:pPr>
    </w:p>
    <w:p>
      <w:pPr>
        <w:jc w:val="both"/>
        <w:ind w:left="340" w:firstLine="1936"/>
        <w:spacing w:after="0" w:line="239" w:lineRule="auto"/>
        <w:tabs>
          <w:tab w:leader="none" w:pos="2932"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80" w:lineRule="exact"/>
        <w:rPr>
          <w:rFonts w:ascii="Times New Roman" w:cs="Times New Roman" w:eastAsia="Times New Roman" w:hAnsi="Times New Roman"/>
          <w:sz w:val="22"/>
          <w:szCs w:val="22"/>
          <w:color w:val="auto"/>
        </w:rPr>
      </w:pPr>
    </w:p>
    <w:p>
      <w:pPr>
        <w:ind w:left="2920" w:hanging="644"/>
        <w:spacing w:after="0"/>
        <w:tabs>
          <w:tab w:leader="none" w:pos="2920"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of (A) Executive’s employment, (B) the Employment Period or</w:t>
      </w:r>
    </w:p>
    <w:p>
      <w:pPr>
        <w:spacing w:after="0" w:line="25" w:lineRule="exact"/>
        <w:rPr>
          <w:rFonts w:ascii="Times New Roman" w:cs="Times New Roman" w:eastAsia="Times New Roman" w:hAnsi="Times New Roman"/>
          <w:sz w:val="21"/>
          <w:szCs w:val="21"/>
          <w:color w:val="auto"/>
        </w:rPr>
      </w:pPr>
    </w:p>
    <w:p>
      <w:pPr>
        <w:ind w:left="680" w:hanging="348"/>
        <w:spacing w:after="0"/>
        <w:tabs>
          <w:tab w:leader="none" w:pos="6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have no effect on the continuing operation of this Section 7.</w:t>
      </w:r>
    </w:p>
    <w:p>
      <w:pPr>
        <w:spacing w:after="0" w:line="182" w:lineRule="exact"/>
        <w:rPr>
          <w:rFonts w:ascii="Times New Roman" w:cs="Times New Roman" w:eastAsia="Times New Roman" w:hAnsi="Times New Roman"/>
          <w:sz w:val="22"/>
          <w:szCs w:val="22"/>
          <w:color w:val="auto"/>
        </w:rPr>
      </w:pPr>
    </w:p>
    <w:p>
      <w:pPr>
        <w:jc w:val="both"/>
        <w:ind w:left="340" w:firstLine="1936"/>
        <w:spacing w:after="0" w:line="233" w:lineRule="auto"/>
        <w:tabs>
          <w:tab w:leader="none" w:pos="2932"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9" w:name="page170"/>
    <w:bookmarkEnd w:id="169"/>
    <w:p>
      <w:pPr>
        <w:ind w:left="340" w:right="440"/>
        <w:spacing w:after="0" w:line="258" w:lineRule="auto"/>
        <w:rPr>
          <w:sz w:val="20"/>
          <w:szCs w:val="20"/>
          <w:color w:val="auto"/>
        </w:rPr>
      </w:pPr>
      <w:r>
        <w:rPr>
          <w:rFonts w:ascii="Times New Roman" w:cs="Times New Roman" w:eastAsia="Times New Roman" w:hAnsi="Times New Roman"/>
          <w:sz w:val="22"/>
          <w:szCs w:val="22"/>
          <w:color w:val="auto"/>
        </w:rPr>
        <w:t>deemed automatically extended by) any period during which Executive is in violation of the provisions of Section 7(c) or (d), as applicable.</w:t>
      </w:r>
    </w:p>
    <w:p>
      <w:pPr>
        <w:spacing w:after="0" w:line="154" w:lineRule="exact"/>
        <w:rPr>
          <w:sz w:val="20"/>
          <w:szCs w:val="20"/>
          <w:color w:val="auto"/>
        </w:rPr>
      </w:pPr>
    </w:p>
    <w:p>
      <w:pPr>
        <w:ind w:left="1960" w:hanging="656"/>
        <w:spacing w:after="0"/>
        <w:tabs>
          <w:tab w:leader="none" w:pos="19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Treatment of Certain Payments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304"/>
        <w:spacing w:after="0" w:line="233"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payments or benefits under this Agreement or otherwise, either alone or together with other payments or benefits that Executive receives or is entitled to receive from the Company or any of its Affiliates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subject Executive to the excise tax under Section 4999 of the Code, the Accounting Firm (as defined below) shall determine whether to reduce any of the Payments paid or payable pursuant to this Agreement (the “</w:t>
      </w:r>
      <w:r>
        <w:rPr>
          <w:rFonts w:ascii="Times New Roman" w:cs="Times New Roman" w:eastAsia="Times New Roman" w:hAnsi="Times New Roman"/>
          <w:sz w:val="22"/>
          <w:szCs w:val="22"/>
          <w:b w:val="1"/>
          <w:bCs w:val="1"/>
          <w:color w:val="auto"/>
        </w:rPr>
        <w:t>Agreement Payments</w:t>
      </w:r>
      <w:r>
        <w:rPr>
          <w:rFonts w:ascii="Times New Roman" w:cs="Times New Roman" w:eastAsia="Times New Roman" w:hAnsi="Times New Roman"/>
          <w:sz w:val="22"/>
          <w:szCs w:val="22"/>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21"/>
          <w:szCs w:val="21"/>
          <w:b w:val="1"/>
          <w:bCs w:val="1"/>
          <w:color w:val="auto"/>
        </w:rPr>
        <w:t>24(c)</w:t>
      </w:r>
      <w:r>
        <w:rPr>
          <w:rFonts w:ascii="Times New Roman" w:cs="Times New Roman" w:eastAsia="Times New Roman" w:hAnsi="Times New Roman"/>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175"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Times New Roman" w:cs="Times New Roman" w:eastAsia="Times New Roman" w:hAnsi="Times New Roman"/>
          <w:sz w:val="22"/>
          <w:szCs w:val="22"/>
          <w:b w:val="1"/>
          <w:bCs w:val="1"/>
          <w:color w:val="auto"/>
        </w:rPr>
        <w:t>Overpayment</w:t>
      </w:r>
      <w:r>
        <w:rPr>
          <w:rFonts w:ascii="Times New Roman" w:cs="Times New Roman" w:eastAsia="Times New Roman" w:hAnsi="Times New Roman"/>
          <w:sz w:val="22"/>
          <w:szCs w:val="22"/>
          <w:color w:val="auto"/>
        </w:rPr>
        <w:t>”) or that additional amounts that shall have not been paid or distributed by the Company to or for the benefit of Executive pursuant to this Agreement could have been so paid or distributed (each, an “</w:t>
      </w:r>
      <w:r>
        <w:rPr>
          <w:rFonts w:ascii="Times New Roman" w:cs="Times New Roman" w:eastAsia="Times New Roman" w:hAnsi="Times New Roman"/>
          <w:sz w:val="22"/>
          <w:szCs w:val="22"/>
          <w:b w:val="1"/>
          <w:bCs w:val="1"/>
          <w:color w:val="auto"/>
        </w:rPr>
        <w:t>Underpayment</w:t>
      </w:r>
      <w:r>
        <w:rPr>
          <w:rFonts w:ascii="Times New Roman" w:cs="Times New Roman" w:eastAsia="Times New Roman" w:hAnsi="Times New Roman"/>
          <w:sz w:val="22"/>
          <w:szCs w:val="22"/>
          <w:color w:val="auto"/>
        </w:rPr>
        <w:t>”), in each case, consistent with the calculation of the Reduced Amount hereunder. In the event that the Accounting Firm, based upon the assertion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0" w:name="page171"/>
    <w:bookmarkEnd w:id="170"/>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179" w:lineRule="exact"/>
        <w:rPr>
          <w:sz w:val="20"/>
          <w:szCs w:val="20"/>
          <w:color w:val="auto"/>
        </w:rPr>
      </w:pPr>
    </w:p>
    <w:p>
      <w:pPr>
        <w:jc w:val="both"/>
        <w:ind w:firstLine="1304"/>
        <w:spacing w:after="0" w:line="246" w:lineRule="auto"/>
        <w:tabs>
          <w:tab w:leader="none" w:pos="194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7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have the following meanings for purposes of this Section 8:</w:t>
      </w:r>
    </w:p>
    <w:p>
      <w:pPr>
        <w:spacing w:after="0" w:line="202" w:lineRule="exact"/>
        <w:rPr>
          <w:rFonts w:ascii="Times New Roman" w:cs="Times New Roman" w:eastAsia="Times New Roman" w:hAnsi="Times New Roman"/>
          <w:sz w:val="22"/>
          <w:szCs w:val="22"/>
          <w:color w:val="auto"/>
        </w:rPr>
      </w:pPr>
    </w:p>
    <w:p>
      <w:pPr>
        <w:jc w:val="both"/>
        <w:ind w:left="340" w:firstLine="1936"/>
        <w:spacing w:after="0" w:line="237" w:lineRule="auto"/>
        <w:tabs>
          <w:tab w:leader="none" w:pos="293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Firm</w:t>
      </w:r>
      <w:r>
        <w:rPr>
          <w:rFonts w:ascii="Times New Roman" w:cs="Times New Roman" w:eastAsia="Times New Roman" w:hAnsi="Times New Roman"/>
          <w:sz w:val="22"/>
          <w:szCs w:val="22"/>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5" w:lineRule="exact"/>
        <w:rPr>
          <w:rFonts w:ascii="Times New Roman" w:cs="Times New Roman" w:eastAsia="Times New Roman" w:hAnsi="Times New Roman"/>
          <w:sz w:val="22"/>
          <w:szCs w:val="22"/>
          <w:color w:val="auto"/>
        </w:rPr>
      </w:pPr>
    </w:p>
    <w:p>
      <w:pPr>
        <w:jc w:val="both"/>
        <w:ind w:left="340" w:firstLine="1936"/>
        <w:spacing w:after="0" w:line="236" w:lineRule="auto"/>
        <w:tabs>
          <w:tab w:leader="none" w:pos="293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After-Tax Receipt</w:t>
      </w:r>
      <w:r>
        <w:rPr>
          <w:rFonts w:ascii="Times New Roman" w:cs="Times New Roman" w:eastAsia="Times New Roman" w:hAnsi="Times New Roman"/>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75" w:lineRule="exact"/>
        <w:rPr>
          <w:rFonts w:ascii="Times New Roman" w:cs="Times New Roman" w:eastAsia="Times New Roman" w:hAnsi="Times New Roman"/>
          <w:sz w:val="22"/>
          <w:szCs w:val="22"/>
          <w:color w:val="auto"/>
        </w:rPr>
      </w:pPr>
    </w:p>
    <w:p>
      <w:pPr>
        <w:jc w:val="both"/>
        <w:ind w:left="340" w:firstLine="1936"/>
        <w:spacing w:after="0" w:line="246" w:lineRule="auto"/>
        <w:tabs>
          <w:tab w:leader="none" w:pos="293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Value</w:t>
      </w:r>
      <w:r>
        <w:rPr>
          <w:rFonts w:ascii="Times New Roman" w:cs="Times New Roman" w:eastAsia="Times New Roman" w:hAnsi="Times New Roman"/>
          <w:sz w:val="22"/>
          <w:szCs w:val="22"/>
          <w:color w:val="auto"/>
        </w:rPr>
        <w:t>” of a Payment shall mean the present value as of the date of the change of control for purposes of Section 280G of the Code of the portion of such Payment that constitutes a “parachute payment” under Section 280G(b)(2) of the Code,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1" w:name="page172"/>
    <w:bookmarkEnd w:id="171"/>
    <w:p>
      <w:pPr>
        <w:ind w:left="340"/>
        <w:spacing w:after="0" w:line="258" w:lineRule="auto"/>
        <w:rPr>
          <w:sz w:val="20"/>
          <w:szCs w:val="20"/>
          <w:color w:val="auto"/>
        </w:rPr>
      </w:pPr>
      <w:r>
        <w:rPr>
          <w:rFonts w:ascii="Times New Roman" w:cs="Times New Roman" w:eastAsia="Times New Roman" w:hAnsi="Times New Roman"/>
          <w:sz w:val="22"/>
          <w:szCs w:val="22"/>
          <w:color w:val="auto"/>
        </w:rPr>
        <w:t>determined by the Accounting Firm for purposes of determining whether and to what extent the excise tax under Section 4999 of the Code shall apply to such Payment.</w:t>
      </w:r>
    </w:p>
    <w:p>
      <w:pPr>
        <w:spacing w:after="0" w:line="154" w:lineRule="exact"/>
        <w:rPr>
          <w:sz w:val="20"/>
          <w:szCs w:val="20"/>
          <w:color w:val="auto"/>
        </w:rPr>
      </w:pPr>
    </w:p>
    <w:p>
      <w:pPr>
        <w:ind w:left="340" w:firstLine="1936"/>
        <w:spacing w:after="0" w:line="262" w:lineRule="auto"/>
        <w:tabs>
          <w:tab w:leader="none" w:pos="293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 Harbor Amount</w:t>
      </w:r>
      <w:r>
        <w:rPr>
          <w:rFonts w:ascii="Times New Roman" w:cs="Times New Roman" w:eastAsia="Times New Roman" w:hAnsi="Times New Roman"/>
          <w:sz w:val="22"/>
          <w:szCs w:val="22"/>
          <w:color w:val="auto"/>
        </w:rPr>
        <w:t>” shall mean 2.99 times Executive’s “base amount,” within the meaning of Section 280G(b)(3) of the Code.</w:t>
      </w:r>
    </w:p>
    <w:p>
      <w:pPr>
        <w:spacing w:after="0" w:line="14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This Agreement is personal to Executive and without the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75"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indemnify Executive and hold him harmless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color w:val="auto"/>
        </w:rPr>
        <w:t>. This Agreement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in accordance with the laws of the State of Arkansas, without reference to principles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2" w:name="page173"/>
    <w:bookmarkEnd w:id="172"/>
    <w:p>
      <w:pPr>
        <w:jc w:val="both"/>
        <w:spacing w:after="0" w:line="236" w:lineRule="auto"/>
        <w:rPr>
          <w:sz w:val="20"/>
          <w:szCs w:val="20"/>
          <w:color w:val="auto"/>
        </w:rPr>
      </w:pPr>
      <w:r>
        <w:rPr>
          <w:rFonts w:ascii="Times New Roman" w:cs="Times New Roman" w:eastAsia="Times New Roman" w:hAnsi="Times New Roman"/>
          <w:sz w:val="22"/>
          <w:szCs w:val="22"/>
          <w:color w:val="auto"/>
        </w:rPr>
        <w:t>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77" w:lineRule="exact"/>
        <w:rPr>
          <w:sz w:val="20"/>
          <w:szCs w:val="20"/>
          <w:color w:val="auto"/>
        </w:rPr>
      </w:pPr>
    </w:p>
    <w:p>
      <w:pPr>
        <w:jc w:val="both"/>
        <w:ind w:firstLine="1304"/>
        <w:spacing w:after="0" w:line="246" w:lineRule="auto"/>
        <w:tabs>
          <w:tab w:leader="none" w:pos="19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All notices and other communications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by hand delivery to the other party or by registered or certified mail, return receipt requested, postage prepaid, addressed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Executive</w:t>
      </w:r>
      <w:r>
        <w:rPr>
          <w:rFonts w:ascii="Times New Roman" w:cs="Times New Roman" w:eastAsia="Times New Roman" w:hAnsi="Times New Roman"/>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Westrock Coffee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River Bluff Drive, Suite 210</w:t>
      </w:r>
    </w:p>
    <w:p>
      <w:pPr>
        <w:ind w:left="1300"/>
        <w:spacing w:after="0" w:line="230" w:lineRule="auto"/>
        <w:rPr>
          <w:sz w:val="20"/>
          <w:szCs w:val="20"/>
          <w:color w:val="auto"/>
        </w:rPr>
      </w:pPr>
      <w:r>
        <w:rPr>
          <w:rFonts w:ascii="Times New Roman" w:cs="Times New Roman" w:eastAsia="Times New Roman" w:hAnsi="Times New Roman"/>
          <w:sz w:val="22"/>
          <w:szCs w:val="22"/>
          <w:color w:val="auto"/>
        </w:rPr>
        <w:t>Little Rock, AR 72202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Chief Legal Officer</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704-782-3121</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54" w:lineRule="exact"/>
        <w:rPr>
          <w:sz w:val="20"/>
          <w:szCs w:val="20"/>
          <w:color w:val="auto"/>
        </w:rPr>
      </w:pPr>
    </w:p>
    <w:p>
      <w:pPr>
        <w:jc w:val="both"/>
        <w:ind w:firstLine="1304"/>
        <w:spacing w:after="0" w:line="235"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w:t>
      </w:r>
      <w:r>
        <w:rPr>
          <w:rFonts w:ascii="Times New Roman" w:cs="Times New Roman" w:eastAsia="Times New Roman" w:hAnsi="Times New Roman"/>
          <w:sz w:val="22"/>
          <w:szCs w:val="22"/>
          <w:color w:val="auto"/>
        </w:rPr>
        <w:t>. Prior to execution of this Agreement, Executive was advised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Invalidity</w:t>
      </w:r>
      <w:r>
        <w:rPr>
          <w:rFonts w:ascii="Times New Roman" w:cs="Times New Roman" w:eastAsia="Times New Roman" w:hAnsi="Times New Roman"/>
          <w:sz w:val="22"/>
          <w:szCs w:val="22"/>
          <w:color w:val="auto"/>
        </w:rPr>
        <w:t>. If any term or provision of this Agreement or the application thereof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7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Survivability</w:t>
      </w:r>
      <w:r>
        <w:rPr>
          <w:rFonts w:ascii="Times New Roman" w:cs="Times New Roman" w:eastAsia="Times New Roman" w:hAnsi="Times New Roman"/>
          <w:sz w:val="22"/>
          <w:szCs w:val="22"/>
          <w:color w:val="auto"/>
        </w:rPr>
        <w:t>. The provisions of this Agreement that by their terms call for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to the termination of either Executive’s employment or this Agreement (including the terms of Sections 5, 7, 8 and 10) shall so survive such termination.</w:t>
      </w:r>
    </w:p>
    <w:p>
      <w:pPr>
        <w:spacing w:after="0" w:line="16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Headings; Construction</w:t>
      </w:r>
      <w:r>
        <w:rPr>
          <w:rFonts w:ascii="Times New Roman" w:cs="Times New Roman" w:eastAsia="Times New Roman" w:hAnsi="Times New Roman"/>
          <w:sz w:val="22"/>
          <w:szCs w:val="22"/>
          <w:color w:val="auto"/>
        </w:rPr>
        <w:t>. The section headings used in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solely for convenience and shall not affect, or be used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3" w:name="page174"/>
    <w:bookmarkEnd w:id="173"/>
    <w:p>
      <w:pPr>
        <w:spacing w:after="0" w:line="258" w:lineRule="auto"/>
        <w:rPr>
          <w:sz w:val="20"/>
          <w:szCs w:val="20"/>
          <w:color w:val="auto"/>
        </w:rPr>
      </w:pPr>
      <w:r>
        <w:rPr>
          <w:rFonts w:ascii="Times New Roman" w:cs="Times New Roman" w:eastAsia="Times New Roman" w:hAnsi="Times New Roman"/>
          <w:sz w:val="22"/>
          <w:szCs w:val="22"/>
          <w:color w:val="auto"/>
        </w:rPr>
        <w:t>the interpretation hereof. For purposes of this Agreement, the term “including” shall mean “including, without limitation.”</w:t>
      </w:r>
    </w:p>
    <w:p>
      <w:pPr>
        <w:spacing w:after="0" w:line="154" w:lineRule="exact"/>
        <w:rPr>
          <w:sz w:val="20"/>
          <w:szCs w:val="20"/>
          <w:color w:val="auto"/>
        </w:rPr>
      </w:pPr>
    </w:p>
    <w:p>
      <w:pPr>
        <w:ind w:firstLine="1304"/>
        <w:spacing w:after="0" w:line="262" w:lineRule="auto"/>
        <w:tabs>
          <w:tab w:leader="none" w:pos="19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be an original but all of which together shall constitute one and the same instrument.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Company may withhold from any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such Federal, state, local or foreign taxes as shall be required to be withheld pursuant to any applicable law or regulation.</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40" w:firstLine="1936"/>
        <w:spacing w:after="0" w:line="233" w:lineRule="auto"/>
        <w:tabs>
          <w:tab w:leader="none" w:pos="293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It is intended that payments and benefits made or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84" w:lineRule="exact"/>
        <w:rPr>
          <w:rFonts w:ascii="Times New Roman" w:cs="Times New Roman" w:eastAsia="Times New Roman" w:hAnsi="Times New Roman"/>
          <w:sz w:val="22"/>
          <w:szCs w:val="22"/>
          <w:color w:val="auto"/>
        </w:rPr>
      </w:pPr>
    </w:p>
    <w:p>
      <w:pPr>
        <w:jc w:val="both"/>
        <w:ind w:left="340" w:firstLine="1936"/>
        <w:spacing w:after="0" w:line="234" w:lineRule="auto"/>
        <w:tabs>
          <w:tab w:leader="none" w:pos="293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Reimbursements and In-Kind Benefits</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179" w:lineRule="exact"/>
        <w:rPr>
          <w:rFonts w:ascii="Times New Roman" w:cs="Times New Roman" w:eastAsia="Times New Roman" w:hAnsi="Times New Roman"/>
          <w:sz w:val="22"/>
          <w:szCs w:val="22"/>
          <w:color w:val="auto"/>
        </w:rPr>
      </w:pPr>
    </w:p>
    <w:p>
      <w:pPr>
        <w:jc w:val="both"/>
        <w:ind w:left="340" w:firstLine="1936"/>
        <w:spacing w:after="0" w:line="250" w:lineRule="auto"/>
        <w:tabs>
          <w:tab w:leader="none" w:pos="2932"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Delay of Payments</w:t>
      </w:r>
      <w:r>
        <w:rPr>
          <w:rFonts w:ascii="Times New Roman" w:cs="Times New Roman" w:eastAsia="Times New Roman" w:hAnsi="Times New Roman"/>
          <w:sz w:val="21"/>
          <w:szCs w:val="21"/>
          <w:color w:val="auto"/>
        </w:rPr>
        <w:t>. Notwithstanding any other provision of this Agreement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4" w:name="page175"/>
    <w:bookmarkEnd w:id="174"/>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Section 409A of the Code) on account of Executive’s separation from service shall be accumulated and paid to Executive on the first business day of the seventh month following Executive’s separation from service (the “</w:t>
      </w:r>
      <w:r>
        <w:rPr>
          <w:rFonts w:ascii="Times New Roman" w:cs="Times New Roman" w:eastAsia="Times New Roman" w:hAnsi="Times New Roman"/>
          <w:sz w:val="22"/>
          <w:szCs w:val="22"/>
          <w:b w:val="1"/>
          <w:bCs w:val="1"/>
          <w:color w:val="auto"/>
        </w:rPr>
        <w:t>Delayed Payment Date</w:t>
      </w:r>
      <w:r>
        <w:rPr>
          <w:rFonts w:ascii="Times New Roman" w:cs="Times New Roman" w:eastAsia="Times New Roman" w:hAnsi="Times New Roman"/>
          <w:sz w:val="22"/>
          <w:szCs w:val="22"/>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79" w:lineRule="exact"/>
        <w:rPr>
          <w:sz w:val="20"/>
          <w:szCs w:val="20"/>
          <w:color w:val="auto"/>
        </w:rPr>
      </w:pPr>
    </w:p>
    <w:p>
      <w:pPr>
        <w:jc w:val="both"/>
        <w:ind w:firstLine="1304"/>
        <w:spacing w:after="0" w:line="236"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No provision of this Agreement shall be modified or amended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7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5" w:name="page176"/>
    <w:bookmarkEnd w:id="175"/>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of Executive and the Company have caused this Agreement to be duly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effective as of the Effective Date.</w:t>
      </w:r>
    </w:p>
    <w:p>
      <w:pPr>
        <w:spacing w:after="0" w:line="1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 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10795</wp:posOffset>
            </wp:positionV>
            <wp:extent cx="31546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Blake Schuhmacher</w:t>
      </w: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10795</wp:posOffset>
            </wp:positionV>
            <wp:extent cx="2948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T. Christopher Pledger</w:t>
      </w:r>
    </w:p>
    <w:p>
      <w:pPr>
        <w:ind w:left="52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464646"/>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GENERAL RELEASE OF CLAIMS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by Blake Schuhmacher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set forth on the signature page hereto. For purposes of this Release, reference is made to the Employment Agreement between Westrock Coffee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Executive, dated as of August 26, 2022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Terms that are capitalized but not defined herein shall have the meanings set forth in the Employment Agreement.</w:t>
      </w:r>
    </w:p>
    <w:p>
      <w:pPr>
        <w:spacing w:after="0" w:line="177"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consideration of the payments and benefits afforded under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after consultation with counsel, Executive and each of Executive’s respective heirs, executors, administrators, representatives, agents, successors and assigns (collectively, the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hereby irrevocably and unconditionally release and forever discharge the Company and its Affiliates and each of its officers, employees, directors and agents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73"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 to Release</w:t>
      </w:r>
      <w:r>
        <w:rPr>
          <w:rFonts w:ascii="Times New Roman" w:cs="Times New Roman" w:eastAsia="Times New Roman" w:hAnsi="Times New Roman"/>
          <w:sz w:val="22"/>
          <w:szCs w:val="22"/>
          <w:color w:val="auto"/>
        </w:rPr>
        <w:t>. Notwithstanding anything contained herein to the contrary,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7" w:name="page178"/>
    <w:bookmarkEnd w:id="177"/>
    <w:p>
      <w:pPr>
        <w:jc w:val="both"/>
        <w:spacing w:after="0" w:line="239" w:lineRule="auto"/>
        <w:rPr>
          <w:sz w:val="20"/>
          <w:szCs w:val="20"/>
          <w:color w:val="auto"/>
        </w:rPr>
      </w:pPr>
      <w:r>
        <w:rPr>
          <w:rFonts w:ascii="Times New Roman" w:cs="Times New Roman" w:eastAsia="Times New Roman" w:hAnsi="Times New Roman"/>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6" w:lineRule="exact"/>
        <w:rPr>
          <w:sz w:val="20"/>
          <w:szCs w:val="20"/>
          <w:color w:val="auto"/>
        </w:rPr>
      </w:pPr>
    </w:p>
    <w:p>
      <w:pPr>
        <w:jc w:val="both"/>
        <w:ind w:firstLine="1304"/>
        <w:spacing w:after="0" w:line="233"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Release of ADEA Claims</w:t>
      </w:r>
      <w:r>
        <w:rPr>
          <w:rFonts w:ascii="Times New Roman" w:cs="Times New Roman" w:eastAsia="Times New Roman" w:hAnsi="Times New Roman"/>
          <w:sz w:val="22"/>
          <w:szCs w:val="22"/>
          <w:color w:val="auto"/>
        </w:rPr>
        <w:t>. In further consideration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 w:cs="Times New Roman" w:eastAsia="Times New Roman" w:hAnsi="Times New Roman"/>
          <w:sz w:val="22"/>
          <w:szCs w:val="22"/>
          <w:b w:val="1"/>
          <w:bCs w:val="1"/>
          <w:color w:val="auto"/>
        </w:rPr>
        <w:t>[twenty-one (21)] [forty-five (45)]</w:t>
      </w:r>
      <w:r>
        <w:rPr>
          <w:rFonts w:ascii="Times New Roman" w:cs="Times New Roman" w:eastAsia="Times New Roman" w:hAnsi="Times New Roman"/>
          <w:sz w:val="22"/>
          <w:szCs w:val="22"/>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l(c), by providing the Company a written notice of Executive’s revocation of the release and waiver contained in this Section l(c).</w:t>
      </w:r>
    </w:p>
    <w:p>
      <w:pPr>
        <w:spacing w:after="0" w:line="17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Executive represents and warrants that Executive has not assigned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Claims being released under this Release.</w:t>
      </w:r>
    </w:p>
    <w:p>
      <w:pPr>
        <w:spacing w:after="0" w:line="149" w:lineRule="exact"/>
        <w:rPr>
          <w:rFonts w:ascii="Times New Roman" w:cs="Times New Roman" w:eastAsia="Times New Roman" w:hAnsi="Times New Roman"/>
          <w:sz w:val="22"/>
          <w:szCs w:val="22"/>
          <w:color w:val="auto"/>
        </w:rPr>
      </w:pPr>
    </w:p>
    <w:p>
      <w:pPr>
        <w:jc w:val="both"/>
        <w:ind w:firstLine="656"/>
        <w:spacing w:after="0" w:line="233" w:lineRule="auto"/>
        <w:tabs>
          <w:tab w:leader="none" w:pos="97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Proceedings</w:t>
      </w:r>
      <w:r>
        <w:rPr>
          <w:rFonts w:ascii="Times New Roman" w:cs="Times New Roman" w:eastAsia="Times New Roman" w:hAnsi="Times New Roman"/>
          <w:sz w:val="22"/>
          <w:szCs w:val="22"/>
          <w:color w:val="auto"/>
        </w:rPr>
        <w:t>. Executive has not filed, and agrees not to initiate or cause to be initiated on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any complaint, charge, claim or proceeding against the Releasees with respect to any Claims released under Section 1(a) or (c) before any local, state or federal agency, court or other body (each, individually,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and agrees not to participate voluntarily in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179" w:lineRule="exact"/>
        <w:rPr>
          <w:rFonts w:ascii="Times New Roman" w:cs="Times New Roman" w:eastAsia="Times New Roman" w:hAnsi="Times New Roman"/>
          <w:sz w:val="22"/>
          <w:szCs w:val="22"/>
          <w:color w:val="auto"/>
        </w:rPr>
      </w:pPr>
    </w:p>
    <w:p>
      <w:pPr>
        <w:ind w:firstLine="656"/>
        <w:spacing w:after="0" w:line="262" w:lineRule="auto"/>
        <w:tabs>
          <w:tab w:leader="none" w:pos="97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Clause</w:t>
      </w:r>
      <w:r>
        <w:rPr>
          <w:rFonts w:ascii="Times New Roman" w:cs="Times New Roman" w:eastAsia="Times New Roman" w:hAnsi="Times New Roman"/>
          <w:sz w:val="22"/>
          <w:szCs w:val="22"/>
          <w:color w:val="auto"/>
        </w:rPr>
        <w:t>. In the event any provision or part of this Release is found to be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8" w:name="page179"/>
    <w:bookmarkEnd w:id="178"/>
    <w:p>
      <w:pPr>
        <w:ind w:firstLine="656"/>
        <w:spacing w:after="0" w:line="262" w:lineRule="auto"/>
        <w:tabs>
          <w:tab w:leader="none" w:pos="9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color w:val="auto"/>
        </w:rPr>
        <w:t>. Nothing contained in this Release shall be deemed or construed as an admission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wrongdoing or liability on the part of the Releasees.</w:t>
      </w:r>
    </w:p>
    <w:p>
      <w:pPr>
        <w:spacing w:after="0" w:line="149" w:lineRule="exact"/>
        <w:rPr>
          <w:rFonts w:ascii="Times New Roman" w:cs="Times New Roman" w:eastAsia="Times New Roman" w:hAnsi="Times New Roman"/>
          <w:sz w:val="22"/>
          <w:szCs w:val="22"/>
          <w:color w:val="auto"/>
        </w:rPr>
      </w:pPr>
    </w:p>
    <w:p>
      <w:pPr>
        <w:jc w:val="both"/>
        <w:ind w:firstLine="656"/>
        <w:spacing w:after="0" w:line="241" w:lineRule="auto"/>
        <w:tabs>
          <w:tab w:leader="none" w:pos="9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All matters affecting this Release, including the validity thereof, are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by, and interpreted and construed in accordance with, the laws of the State of Arkansas applicable to contracts executed in and to be performed in that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rights to indemnification shall be governed by and in accordance with the laws of the State of Delaware.</w:t>
      </w:r>
    </w:p>
    <w:p>
      <w:pPr>
        <w:spacing w:after="0" w:line="1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Release may be executed in counterparts and each counterpart shall be deemed an</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original.</w:t>
      </w:r>
    </w:p>
    <w:p>
      <w:pPr>
        <w:spacing w:after="0" w:line="178" w:lineRule="exact"/>
        <w:rPr>
          <w:rFonts w:ascii="Times New Roman" w:cs="Times New Roman" w:eastAsia="Times New Roman" w:hAnsi="Times New Roman"/>
          <w:sz w:val="21"/>
          <w:szCs w:val="21"/>
          <w:color w:val="auto"/>
        </w:rPr>
      </w:pPr>
    </w:p>
    <w:p>
      <w:pPr>
        <w:jc w:val="both"/>
        <w:ind w:firstLine="656"/>
        <w:spacing w:after="0" w:line="241" w:lineRule="auto"/>
        <w:tabs>
          <w:tab w:leader="none" w:pos="9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or other communications under this Release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pacing w:after="0" w:line="176"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2"/>
          <w:szCs w:val="22"/>
          <w:color w:val="auto"/>
        </w:rPr>
        <w:t>As to Employee:</w:t>
      </w:r>
      <w:r>
        <w:rPr>
          <w:sz w:val="20"/>
          <w:szCs w:val="20"/>
          <w:color w:val="auto"/>
        </w:rPr>
        <w:tab/>
      </w:r>
      <w:r>
        <w:rPr>
          <w:rFonts w:ascii="Times New Roman" w:cs="Times New Roman" w:eastAsia="Times New Roman" w:hAnsi="Times New Roman"/>
          <w:sz w:val="21"/>
          <w:szCs w:val="21"/>
          <w:color w:val="auto"/>
        </w:rPr>
        <w:t>Executive’s last address on the books and records of the Company</w:t>
      </w:r>
    </w:p>
    <w:p>
      <w:pPr>
        <w:spacing w:after="0" w:line="23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2"/>
          <w:szCs w:val="22"/>
          <w:color w:val="auto"/>
        </w:rPr>
        <w:t>As to the Company:</w:t>
      </w:r>
      <w:r>
        <w:rPr>
          <w:sz w:val="20"/>
          <w:szCs w:val="20"/>
          <w:color w:val="auto"/>
        </w:rPr>
        <w:tab/>
      </w:r>
      <w:r>
        <w:rPr>
          <w:rFonts w:ascii="Times New Roman" w:cs="Times New Roman" w:eastAsia="Times New Roman" w:hAnsi="Times New Roman"/>
          <w:sz w:val="21"/>
          <w:szCs w:val="21"/>
          <w:color w:val="auto"/>
        </w:rPr>
        <w:t>[ADDRESS AS OF DATE OF RELEASE]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Executive has executed this Release on the date set forth below.</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31457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4"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34"/>
        </w:trPr>
        <w:tc>
          <w:tcPr>
            <w:tcW w:w="20" w:type="dxa"/>
            <w:vAlign w:val="bottom"/>
          </w:tcPr>
          <w:p>
            <w:pPr>
              <w:spacing w:after="0"/>
              <w:rPr>
                <w:sz w:val="20"/>
                <w:szCs w:val="20"/>
                <w:color w:val="auto"/>
              </w:rPr>
            </w:pPr>
          </w:p>
        </w:tc>
        <w:tc>
          <w:tcPr>
            <w:tcW w:w="9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(All subsidiaries are 100% owned unless otherwise noted)</w:t>
            </w:r>
          </w:p>
        </w:tc>
      </w:tr>
      <w:tr>
        <w:trPr>
          <w:trHeight w:val="43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of Formation</w:t>
            </w:r>
          </w:p>
        </w:tc>
      </w:tr>
      <w:tr>
        <w:trPr>
          <w:trHeight w:val="191"/>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Westrock Beverage Solutions, LLC</w:t>
            </w: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International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Roasting,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Beverage Company,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D. Coffee, Inc. (d/b/a Westrock Coffee)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Singapore Pte.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Malaysia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International,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Tembo Coffee Company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 Trading Company SA</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Limited (85% ownership)</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Asia Sdn. Bhd.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Europe GmbH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Peru SRL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 Merger Sub II,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Kohana Coffee, LLC</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763"/>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333-267153) of Westrock Coffee Company of our report dated March 21, 2023 relating to the financial statements and financial statement schedule,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9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9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2022,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693"/>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2022,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lowerRoman"/>
      <w:start w:val="2"/>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1."/>
      <w:numFmt w:val="decimal"/>
      <w:start w:val="8"/>
    </w:lvl>
  </w:abstractNum>
  <w:abstractNum w:abstractNumId="18">
    <w:nsid w:val="310C50B3"/>
    <w:multiLevelType w:val="hybridMultilevel"/>
    <w:lvl w:ilvl="0">
      <w:lvlJc w:val="left"/>
      <w:lvlText w:val="(%1)"/>
      <w:numFmt w:val="lowerRoman"/>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Roman"/>
      <w:start w:val="10"/>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04"/>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lowerRoman"/>
      <w:start w:val="2"/>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1)"/>
      <w:numFmt w:val="lowerRoman"/>
      <w:start w:val="10"/>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decimal"/>
      <w:start w:val="3"/>
    </w:lvl>
  </w:abstractNum>
  <w:abstractNum w:abstractNumId="38">
    <w:nsid w:val="5DC79EA8"/>
    <w:multiLevelType w:val="hybridMultilevel"/>
    <w:lvl w:ilvl="0">
      <w:lvlJc w:val="left"/>
      <w:lvlText w:val="(%1)"/>
      <w:numFmt w:val="lowerLetter"/>
      <w:start w:val="1"/>
    </w:lvl>
  </w:abstractNum>
  <w:abstractNum w:abstractNumId="39">
    <w:nsid w:val="540A471C"/>
    <w:multiLevelType w:val="hybridMultilevel"/>
    <w:lvl w:ilvl="0">
      <w:lvlJc w:val="left"/>
      <w:lvlText w:val="%1."/>
      <w:numFmt w:val="decimal"/>
      <w:start w:val="4"/>
    </w:lvl>
  </w:abstractNum>
  <w:abstractNum w:abstractNumId="40">
    <w:nsid w:val="7BD3EE7B"/>
    <w:multiLevelType w:val="hybridMultilevel"/>
    <w:lvl w:ilvl="0">
      <w:lvlJc w:val="left"/>
      <w:lvlText w:val="(%1)"/>
      <w:numFmt w:val="lowerLetter"/>
      <w:start w:val="1"/>
    </w:lvl>
  </w:abstractNum>
  <w:abstractNum w:abstractNumId="41">
    <w:nsid w:val="51D9C564"/>
    <w:multiLevelType w:val="hybridMultilevel"/>
    <w:lvl w:ilvl="0">
      <w:lvlJc w:val="left"/>
      <w:lvlText w:val="(%1)"/>
      <w:numFmt w:val="lowerLetter"/>
      <w:start w:val="2"/>
    </w:lvl>
    <w:lvl w:ilvl="1">
      <w:lvlJc w:val="left"/>
      <w:lvlText w:val="(%2)"/>
      <w:numFmt w:val="lowerRoman"/>
      <w:start w:val="1"/>
    </w:lvl>
  </w:abstractNum>
  <w:abstractNum w:abstractNumId="42">
    <w:nsid w:val="613EFDC5"/>
    <w:multiLevelType w:val="hybridMultilevel"/>
    <w:lvl w:ilvl="0">
      <w:lvlJc w:val="left"/>
      <w:lvlText w:val="(%1)"/>
      <w:numFmt w:val="lowerLetter"/>
      <w:start w:val="3"/>
    </w:lvl>
    <w:lvl w:ilvl="1">
      <w:lvlJc w:val="left"/>
      <w:lvlText w:val="(%2)"/>
      <w:numFmt w:val="lowerRoman"/>
      <w:start w:val="1"/>
    </w:lvl>
  </w:abstractNum>
  <w:abstractNum w:abstractNumId="43">
    <w:nsid w:val="BF72B14"/>
    <w:multiLevelType w:val="hybridMultilevel"/>
    <w:lvl w:ilvl="0">
      <w:lvlJc w:val="left"/>
      <w:lvlText w:val="(%1)"/>
      <w:numFmt w:val="lowerRoman"/>
      <w:start w:val="3"/>
    </w:lvl>
  </w:abstractNum>
  <w:abstractNum w:abstractNumId="44">
    <w:nsid w:val="11447B73"/>
    <w:multiLevelType w:val="hybridMultilevel"/>
    <w:lvl w:ilvl="0">
      <w:lvlJc w:val="left"/>
      <w:lvlText w:val="%1"/>
      <w:numFmt w:val="lowerLetter"/>
      <w:start w:val="1"/>
    </w:lvl>
    <w:lvl w:ilvl="1">
      <w:lvlJc w:val="left"/>
      <w:lvlText w:val="(%2)"/>
      <w:numFmt w:val="lowerLetter"/>
      <w:start w:val="4"/>
    </w:lvl>
  </w:abstractNum>
  <w:abstractNum w:abstractNumId="45">
    <w:nsid w:val="42963E5A"/>
    <w:multiLevelType w:val="hybridMultilevel"/>
    <w:lvl w:ilvl="0">
      <w:lvlJc w:val="left"/>
      <w:lvlText w:val="(%1)"/>
      <w:numFmt w:val="lowerLetter"/>
      <w:start w:val="61"/>
    </w:lvl>
    <w:lvl w:ilvl="1">
      <w:lvlJc w:val="left"/>
      <w:lvlText w:val="%2"/>
      <w:numFmt w:val="lowerLetter"/>
      <w:start w:val="1"/>
    </w:lvl>
  </w:abstractNum>
  <w:abstractNum w:abstractNumId="46">
    <w:nsid w:val="A0382C5"/>
    <w:multiLevelType w:val="hybridMultilevel"/>
    <w:lvl w:ilvl="0">
      <w:lvlJc w:val="left"/>
      <w:lvlText w:val="%1."/>
      <w:numFmt w:val="decimal"/>
      <w:start w:val="5"/>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Roman"/>
      <w:start w:val="1"/>
    </w:lvl>
  </w:abstractNum>
  <w:abstractNum w:abstractNumId="49">
    <w:nsid w:val="3B0FD379"/>
    <w:multiLevelType w:val="hybridMultilevel"/>
    <w:lvl w:ilvl="0">
      <w:lvlJc w:val="left"/>
      <w:lvlText w:val="(%1)"/>
      <w:numFmt w:val="lowerLetter"/>
      <w:start w:val="2"/>
    </w:lvl>
  </w:abstractNum>
  <w:abstractNum w:abstractNumId="50">
    <w:nsid w:val="68EB2F63"/>
    <w:multiLevelType w:val="hybridMultilevel"/>
    <w:lvl w:ilvl="0">
      <w:lvlJc w:val="left"/>
      <w:lvlText w:val="%1."/>
      <w:numFmt w:val="decimal"/>
      <w:start w:val="6"/>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2"/>
    </w:lvl>
  </w:abstractNum>
  <w:abstractNum w:abstractNumId="53">
    <w:nsid w:val="6A5EE64"/>
    <w:multiLevelType w:val="hybridMultilevel"/>
    <w:lvl w:ilvl="0">
      <w:lvlJc w:val="left"/>
      <w:lvlText w:val="(%1)"/>
      <w:numFmt w:val="lowerLetter"/>
      <w:start w:val="4"/>
    </w:lvl>
  </w:abstractNum>
  <w:abstractNum w:abstractNumId="54">
    <w:nsid w:val="14330624"/>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55">
    <w:nsid w:val="7FFFCA1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5"/>
    </w:lvl>
  </w:abstractNum>
  <w:abstractNum w:abstractNumId="56">
    <w:nsid w:val="1A27709E"/>
    <w:multiLevelType w:val="hybridMultilevel"/>
    <w:lvl w:ilvl="0">
      <w:lvlJc w:val="left"/>
      <w:lvlText w:val="%1."/>
      <w:numFmt w:val="decimal"/>
      <w:start w:val="8"/>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4"/>
    </w:lvl>
    <w:lvl w:ilvl="1">
      <w:lvlJc w:val="left"/>
      <w:lvlText w:val="(%2)"/>
      <w:numFmt w:val="lowerRoman"/>
      <w:start w:val="1"/>
    </w:lvl>
  </w:abstractNum>
  <w:abstractNum w:abstractNumId="59">
    <w:nsid w:val="7FB7E0AA"/>
    <w:multiLevelType w:val="hybridMultilevel"/>
    <w:lvl w:ilvl="0">
      <w:lvlJc w:val="left"/>
      <w:lvlText w:val="%1"/>
      <w:numFmt w:val="decimal"/>
      <w:start w:val="1"/>
    </w:lvl>
    <w:lvl w:ilvl="1">
      <w:lvlJc w:val="left"/>
      <w:lvlText w:val="(%2)"/>
      <w:numFmt w:val="lowerRoman"/>
      <w:start w:val="3"/>
    </w:lvl>
  </w:abstractNum>
  <w:abstractNum w:abstractNumId="60">
    <w:nsid w:val="6EB5BD4"/>
    <w:multiLevelType w:val="hybridMultilevel"/>
    <w:lvl w:ilvl="0">
      <w:lvlJc w:val="left"/>
      <w:lvlText w:val="%1."/>
      <w:numFmt w:val="decimal"/>
      <w:start w:val="9"/>
    </w:lvl>
    <w:lvl w:ilvl="1">
      <w:lvlJc w:val="left"/>
      <w:lvlText w:val="%2"/>
      <w:numFmt w:val="lowerRoman"/>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2"/>
    </w:lvl>
  </w:abstractNum>
  <w:abstractNum w:abstractNumId="63">
    <w:nsid w:val="885E1B"/>
    <w:multiLevelType w:val="hybridMultilevel"/>
    <w:lvl w:ilvl="0">
      <w:lvlJc w:val="left"/>
      <w:lvlText w:val="(%1)"/>
      <w:numFmt w:val="lowerLetter"/>
      <w:start w:val="3"/>
    </w:lvl>
  </w:abstractNum>
  <w:abstractNum w:abstractNumId="64">
    <w:nsid w:val="76272110"/>
    <w:multiLevelType w:val="hybridMultilevel"/>
    <w:lvl w:ilvl="0">
      <w:lvlJc w:val="left"/>
      <w:lvlText w:val="(%1)"/>
      <w:numFmt w:val="lowerLetter"/>
      <w:start w:val="6"/>
    </w:lvl>
    <w:lvl w:ilvl="1">
      <w:lvlJc w:val="left"/>
      <w:lvlText w:val="(%2)"/>
      <w:numFmt w:val="lowerRoman"/>
      <w:start w:val="1"/>
    </w:lvl>
  </w:abstractNum>
  <w:abstractNum w:abstractNumId="65">
    <w:nsid w:val="4C04A8AF"/>
    <w:multiLevelType w:val="hybridMultilevel"/>
    <w:lvl w:ilvl="0">
      <w:lvlJc w:val="left"/>
      <w:lvlText w:val="(%1)"/>
      <w:numFmt w:val="lowerLetter"/>
      <w:start w:val="10"/>
    </w:lvl>
  </w:abstractNum>
  <w:abstractNum w:abstractNumId="66">
    <w:nsid w:val="1716703B"/>
    <w:multiLevelType w:val="hybridMultilevel"/>
    <w:lvl w:ilvl="0">
      <w:lvlJc w:val="left"/>
      <w:lvlText w:val="%1."/>
      <w:numFmt w:val="decimal"/>
      <w:start w:val="1"/>
    </w:lvl>
    <w:lvl w:ilvl="1">
      <w:lvlJc w:val="left"/>
      <w:lvlText w:val="(%2)"/>
      <w:numFmt w:val="lowerLetter"/>
      <w:start w:val="1"/>
    </w:lvl>
  </w:abstractNum>
  <w:abstractNum w:abstractNumId="67">
    <w:nsid w:val="14E17E33"/>
    <w:multiLevelType w:val="hybridMultilevel"/>
    <w:lvl w:ilvl="0">
      <w:lvlJc w:val="left"/>
      <w:lvlText w:val="%1"/>
      <w:numFmt w:val="decimal"/>
      <w:start w:val="1"/>
    </w:lvl>
    <w:lvl w:ilvl="1">
      <w:lvlJc w:val="left"/>
      <w:lvlText w:val="(%2)"/>
      <w:numFmt w:val="lowerLetter"/>
      <w:start w:val="3"/>
    </w:lvl>
  </w:abstractNum>
  <w:abstractNum w:abstractNumId="68">
    <w:nsid w:val="3222E7CD"/>
    <w:multiLevelType w:val="hybridMultilevel"/>
    <w:lvl w:ilvl="0">
      <w:lvlJc w:val="left"/>
      <w:lvlText w:val="%1."/>
      <w:numFmt w:val="decimal"/>
      <w:start w:val="2"/>
    </w:lvl>
    <w:lvl w:ilvl="1">
      <w:lvlJc w:val="left"/>
      <w:lvlText w:val="%2"/>
      <w:numFmt w:val="lowerLetter"/>
      <w:start w:val="1"/>
    </w:lvl>
  </w:abstractNum>
  <w:abstractNum w:abstractNumId="69">
    <w:nsid w:val="74DE0EE3"/>
    <w:multiLevelType w:val="hybridMultilevel"/>
    <w:lvl w:ilvl="0">
      <w:lvlJc w:val="left"/>
      <w:lvlText w:val="%1."/>
      <w:numFmt w:val="decimal"/>
      <w:start w:val="4"/>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lowerLetter"/>
      <w:start w:val="1"/>
    </w:lvl>
  </w:abstractNum>
  <w:abstractNum w:abstractNumId="72">
    <w:nsid w:val="46B7D447"/>
    <w:multiLevelType w:val="hybridMultilevel"/>
    <w:lvl w:ilvl="0">
      <w:lvlJc w:val="left"/>
      <w:lvlText w:val="%1."/>
      <w:numFmt w:val="decimal"/>
      <w:start w:val="3"/>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decimal"/>
      <w:start w:val="4"/>
    </w:lvl>
  </w:abstractNum>
  <w:abstractNum w:abstractNumId="75">
    <w:nsid w:val="57FC4FBB"/>
    <w:multiLevelType w:val="hybridMultilevel"/>
    <w:lvl w:ilvl="0">
      <w:lvlJc w:val="left"/>
      <w:lvlText w:val="(%1)"/>
      <w:numFmt w:val="lowerLetter"/>
      <w:start w:val="1"/>
    </w:lvl>
  </w:abstractNum>
  <w:abstractNum w:abstractNumId="76">
    <w:nsid w:val="CC1016F"/>
    <w:multiLevelType w:val="hybridMultilevel"/>
    <w:lvl w:ilvl="0">
      <w:lvlJc w:val="left"/>
      <w:lvlText w:val="(%1)"/>
      <w:numFmt w:val="lowerLetter"/>
      <w:start w:val="2"/>
    </w:lvl>
    <w:lvl w:ilvl="1">
      <w:lvlJc w:val="left"/>
      <w:lvlText w:val="(%2)"/>
      <w:numFmt w:val="lowerRoman"/>
      <w:start w:val="1"/>
    </w:lvl>
  </w:abstractNum>
  <w:abstractNum w:abstractNumId="77">
    <w:nsid w:val="43F18422"/>
    <w:multiLevelType w:val="hybridMultilevel"/>
    <w:lvl w:ilvl="0">
      <w:lvlJc w:val="left"/>
      <w:lvlText w:val="(%1)"/>
      <w:numFmt w:val="lowerLetter"/>
      <w:start w:val="3"/>
    </w:lvl>
    <w:lvl w:ilvl="1">
      <w:lvlJc w:val="left"/>
      <w:lvlText w:val="(%2)"/>
      <w:numFmt w:val="lowerRoman"/>
      <w:start w:val="1"/>
    </w:lvl>
  </w:abstractNum>
  <w:abstractNum w:abstractNumId="78">
    <w:nsid w:val="60EF011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5"/>
    </w:lvl>
  </w:abstractNum>
  <w:abstractNum w:abstractNumId="79">
    <w:nsid w:val="26F324BA"/>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80">
    <w:nsid w:val="7F01579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81">
    <w:nsid w:val="49DA307D"/>
    <w:multiLevelType w:val="hybridMultilevel"/>
    <w:lvl w:ilvl="0">
      <w:lvlJc w:val="left"/>
      <w:lvlText w:val="%1."/>
      <w:numFmt w:val="decimal"/>
      <w:start w:val="5"/>
    </w:lvl>
  </w:abstractNum>
  <w:abstractNum w:abstractNumId="82">
    <w:nsid w:val="7055A5F5"/>
    <w:multiLevelType w:val="hybridMultilevel"/>
    <w:lvl w:ilvl="0">
      <w:lvlJc w:val="left"/>
      <w:lvlText w:val="(%1)"/>
      <w:numFmt w:val="lowerLetter"/>
      <w:start w:val="1"/>
    </w:lvl>
    <w:lvl w:ilvl="1">
      <w:lvlJc w:val="left"/>
      <w:lvlText w:val="(%2)"/>
      <w:numFmt w:val="lowerLetter"/>
      <w:start w:val="9"/>
    </w:lvl>
  </w:abstractNum>
  <w:abstractNum w:abstractNumId="83">
    <w:nsid w:val="5FB8370B"/>
    <w:multiLevelType w:val="hybridMultilevel"/>
    <w:lvl w:ilvl="0">
      <w:lvlJc w:val="left"/>
      <w:lvlText w:val="(%1)"/>
      <w:numFmt w:val="lowerRoman"/>
      <w:start w:val="2"/>
    </w:lvl>
  </w:abstractNum>
  <w:abstractNum w:abstractNumId="84">
    <w:nsid w:val="50801EE1"/>
    <w:multiLevelType w:val="hybridMultilevel"/>
    <w:lvl w:ilvl="0">
      <w:lvlJc w:val="left"/>
      <w:lvlText w:val="(%1)"/>
      <w:numFmt w:val="lowerLetter"/>
      <w:start w:val="2"/>
    </w:lvl>
  </w:abstractNum>
  <w:abstractNum w:abstractNumId="85">
    <w:nsid w:val="488AC1A"/>
    <w:multiLevelType w:val="hybridMultilevel"/>
    <w:lvl w:ilvl="0">
      <w:lvlJc w:val="left"/>
      <w:lvlText w:val="%1."/>
      <w:numFmt w:val="decimal"/>
      <w:start w:val="6"/>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Letter"/>
      <w:start w:val="2"/>
    </w:lvl>
  </w:abstractNum>
  <w:abstractNum w:abstractNumId="88">
    <w:nsid w:val="7672BD23"/>
    <w:multiLevelType w:val="hybridMultilevel"/>
    <w:lvl w:ilvl="0">
      <w:lvlJc w:val="left"/>
      <w:lvlText w:val="(%1)"/>
      <w:numFmt w:val="lowerLetter"/>
      <w:start w:val="5"/>
    </w:lvl>
  </w:abstractNum>
  <w:abstractNum w:abstractNumId="89">
    <w:nsid w:val="6FC75AF8"/>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90">
    <w:nsid w:val="6A5F702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5"/>
    </w:lvl>
  </w:abstractNum>
  <w:abstractNum w:abstractNumId="91">
    <w:nsid w:val="7D5E18F8"/>
    <w:multiLevelType w:val="hybridMultilevel"/>
    <w:lvl w:ilvl="0">
      <w:lvlJc w:val="left"/>
      <w:lvlText w:val="%1."/>
      <w:numFmt w:val="decimal"/>
      <w:start w:val="8"/>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4"/>
    </w:lvl>
    <w:lvl w:ilvl="1">
      <w:lvlJc w:val="left"/>
      <w:lvlText w:val="(%2)"/>
      <w:numFmt w:val="lowerRoman"/>
      <w:start w:val="1"/>
    </w:lvl>
  </w:abstractNum>
  <w:abstractNum w:abstractNumId="94">
    <w:nsid w:val="7DE67713"/>
    <w:multiLevelType w:val="hybridMultilevel"/>
    <w:lvl w:ilvl="0">
      <w:lvlJc w:val="left"/>
      <w:lvlText w:val="%1"/>
      <w:numFmt w:val="decimal"/>
      <w:start w:val="1"/>
    </w:lvl>
    <w:lvl w:ilvl="1">
      <w:lvlJc w:val="left"/>
      <w:lvlText w:val="(%2)"/>
      <w:numFmt w:val="lowerRoman"/>
      <w:start w:val="4"/>
    </w:lvl>
  </w:abstractNum>
  <w:abstractNum w:abstractNumId="95">
    <w:nsid w:val="555C55B5"/>
    <w:multiLevelType w:val="hybridMultilevel"/>
    <w:lvl w:ilvl="0">
      <w:lvlJc w:val="left"/>
      <w:lvlText w:val="%1."/>
      <w:numFmt w:val="decimal"/>
      <w:start w:val="9"/>
    </w:lvl>
    <w:lvl w:ilvl="1">
      <w:lvlJc w:val="left"/>
      <w:lvlText w:val="%2"/>
      <w:numFmt w:val="lowerRoman"/>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2"/>
    </w:lvl>
  </w:abstractNum>
  <w:abstractNum w:abstractNumId="98">
    <w:nsid w:val="6A3DD3E8"/>
    <w:multiLevelType w:val="hybridMultilevel"/>
    <w:lvl w:ilvl="0">
      <w:lvlJc w:val="left"/>
      <w:lvlText w:val="(%1)"/>
      <w:numFmt w:val="lowerLetter"/>
      <w:start w:val="3"/>
    </w:lvl>
  </w:abstractNum>
  <w:abstractNum w:abstractNumId="99">
    <w:nsid w:val="71C91298"/>
    <w:multiLevelType w:val="hybridMultilevel"/>
    <w:lvl w:ilvl="0">
      <w:lvlJc w:val="left"/>
      <w:lvlText w:val="(%1)"/>
      <w:numFmt w:val="lowerLetter"/>
      <w:start w:val="7"/>
    </w:lvl>
    <w:lvl w:ilvl="1">
      <w:lvlJc w:val="left"/>
      <w:lvlText w:val="(%2)"/>
      <w:numFmt w:val="lowerRoman"/>
      <w:start w:val="1"/>
    </w:lvl>
  </w:abstractNum>
  <w:abstractNum w:abstractNumId="100">
    <w:nsid w:val="9DAF632"/>
    <w:multiLevelType w:val="hybridMultilevel"/>
    <w:lvl w:ilvl="0">
      <w:lvlJc w:val="left"/>
      <w:lvlText w:val="(%1)"/>
      <w:numFmt w:val="lowerLetter"/>
      <w:start w:val="10"/>
    </w:lvl>
  </w:abstractNum>
  <w:abstractNum w:abstractNumId="101">
    <w:nsid w:val="53299938"/>
    <w:multiLevelType w:val="hybridMultilevel"/>
    <w:lvl w:ilvl="0">
      <w:lvlJc w:val="left"/>
      <w:lvlText w:val="%1."/>
      <w:numFmt w:val="decimal"/>
      <w:start w:val="1"/>
    </w:lvl>
    <w:lvl w:ilvl="1">
      <w:lvlJc w:val="left"/>
      <w:lvlText w:val="(%2)"/>
      <w:numFmt w:val="lowerLetter"/>
      <w:start w:val="1"/>
    </w:lvl>
  </w:abstractNum>
  <w:abstractNum w:abstractNumId="102">
    <w:nsid w:val="1FBFE8E0"/>
    <w:multiLevelType w:val="hybridMultilevel"/>
    <w:lvl w:ilvl="0">
      <w:lvlJc w:val="left"/>
      <w:lvlText w:val="%1"/>
      <w:numFmt w:val="decimal"/>
      <w:start w:val="1"/>
    </w:lvl>
    <w:lvl w:ilvl="1">
      <w:lvlJc w:val="left"/>
      <w:lvlText w:val="(%2)"/>
      <w:numFmt w:val="lowerLetter"/>
      <w:start w:val="3"/>
    </w:lvl>
  </w:abstractNum>
  <w:abstractNum w:abstractNumId="103">
    <w:nsid w:val="5092CA79"/>
    <w:multiLevelType w:val="hybridMultilevel"/>
    <w:lvl w:ilvl="0">
      <w:lvlJc w:val="left"/>
      <w:lvlText w:val="%1."/>
      <w:numFmt w:val="decimal"/>
      <w:start w:val="2"/>
    </w:lvl>
    <w:lvl w:ilvl="1">
      <w:lvlJc w:val="left"/>
      <w:lvlText w:val="%2"/>
      <w:numFmt w:val="lowerLetter"/>
      <w:start w:val="1"/>
    </w:lvl>
  </w:abstractNum>
  <w:abstractNum w:abstractNumId="104">
    <w:nsid w:val="1D545C4D"/>
    <w:multiLevelType w:val="hybridMultilevel"/>
    <w:lvl w:ilvl="0">
      <w:lvlJc w:val="left"/>
      <w:lvlText w:val="%1."/>
      <w:numFmt w:val="decimal"/>
      <w:start w:val="4"/>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4" Type="http://schemas.openxmlformats.org/officeDocument/2006/relationships/image" Target="media/image117.png"/><Relationship Id="rId145"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124" Type="http://schemas.openxmlformats.org/officeDocument/2006/relationships/hyperlink" Target="https://www.sec.gov/Archives/edgar/data/1806347/000110465922085470/tm2212886-14_s4a.htm#tANNEA" TargetMode="External"/><Relationship Id="rId125" Type="http://schemas.openxmlformats.org/officeDocument/2006/relationships/hyperlink" Target="https://www.sec.gov/Archives/edgar/data/1806347/000155837022014048/west-20220630xex3d1.htm" TargetMode="External"/><Relationship Id="rId126" Type="http://schemas.openxmlformats.org/officeDocument/2006/relationships/hyperlink" Target="https://www.sec.gov/Archives/edgar/data/1806347/000155837022014048/west-20220630xex3d2.htm" TargetMode="External"/><Relationship Id="rId127" Type="http://schemas.openxmlformats.org/officeDocument/2006/relationships/hyperlink" Target="https://www.sec.gov/Archives/edgar/data/1806347/000155837022014048/west-20220630xex4d1.htm" TargetMode="External"/><Relationship Id="rId128" Type="http://schemas.openxmlformats.org/officeDocument/2006/relationships/hyperlink" Target="https://www.sec.gov/Archives/edgar/data/1806347/000110465922069935/tm2212886d6_ex4-5.htm" TargetMode="External"/><Relationship Id="rId129" Type="http://schemas.openxmlformats.org/officeDocument/2006/relationships/hyperlink" Target="https://www.sec.gov/Archives/edgar/data/1806347/000110465922080226/tm2212886d9_ex4-6.htm" TargetMode="External"/><Relationship Id="rId130" Type="http://schemas.openxmlformats.org/officeDocument/2006/relationships/hyperlink" Target="https://www.sec.gov/Archives/edgar/data/1806347/000110465922049310/tm2212886d2_ex4-8.htm" TargetMode="External"/><Relationship Id="rId131" Type="http://schemas.openxmlformats.org/officeDocument/2006/relationships/hyperlink" Target="https://www.sec.gov/Archives/edgar/data/1806347/000110465922085470/tm2212886-14_s4a.htm#tANNE2C" TargetMode="External"/><Relationship Id="rId132" Type="http://schemas.openxmlformats.org/officeDocument/2006/relationships/hyperlink" Target="https://www.sec.gov/Archives/edgar/data/1806347/000110465922085470/tm2212886-14_s4a.htm#tANNED" TargetMode="External"/><Relationship Id="rId133" Type="http://schemas.openxmlformats.org/officeDocument/2006/relationships/hyperlink" Target="https://www.sec.gov/Archives/edgar/data/1806347/000110465922080226/tm2212886d9_ex10-6.htm" TargetMode="External"/><Relationship Id="rId135" Type="http://schemas.openxmlformats.org/officeDocument/2006/relationships/hyperlink" Target="https://www.sec.gov/Archives/edgar/data/1806347/000155837022014048/west-20220630xex10d3.htm" TargetMode="External"/><Relationship Id="rId136" Type="http://schemas.openxmlformats.org/officeDocument/2006/relationships/hyperlink" Target="https://www.sec.gov/Archives/edgar/data/1806347/000110465923021756/tm236580d1_ex10-1.htm" TargetMode="External"/><Relationship Id="rId137" Type="http://schemas.openxmlformats.org/officeDocument/2006/relationships/hyperlink" Target="https://www.sec.gov/Archives/edgar/data/1806347/000155837022014048/west-20220630xex10d4.htm" TargetMode="External"/><Relationship Id="rId138" Type="http://schemas.openxmlformats.org/officeDocument/2006/relationships/hyperlink" Target="https://www.sec.gov/Archives/edgar/data/1806347/000155837022014048/west-20220630xex10d5.htm" TargetMode="External"/><Relationship Id="rId139" Type="http://schemas.openxmlformats.org/officeDocument/2006/relationships/hyperlink" Target="https://www.sec.gov/Archives/edgar/data/1806347/000155837022014048/west-20220630xex10d6.htm" TargetMode="External"/><Relationship Id="rId140" Type="http://schemas.openxmlformats.org/officeDocument/2006/relationships/hyperlink" Target="https://www.sec.gov/Archives/edgar/data/1806347/000155837022014048/west-20220630xex10d7.htm" TargetMode="External"/><Relationship Id="rId141" Type="http://schemas.openxmlformats.org/officeDocument/2006/relationships/hyperlink" Target="https://www.sec.gov/Archives/edgar/data/1806347/000155837022017832/west-20220930xex10d8.htm" TargetMode="External"/><Relationship Id="rId142" Type="http://schemas.openxmlformats.org/officeDocument/2006/relationships/hyperlink" Target="https://www.sec.gov/Archives/edgar/data/1806347/000155837022014048/west-20220630xex10d8.htm" TargetMode="External"/><Relationship Id="rId143" Type="http://schemas.openxmlformats.org/officeDocument/2006/relationships/hyperlink" Target="https://www.sec.gov/Archives/edgar/data/1806347/000155837022014048/west-20220630xex10d9.htm" TargetMode="External"/><Relationship Id="rId144" Type="http://schemas.openxmlformats.org/officeDocument/2006/relationships/hyperlink" Target="https://www.sec.gov/Archives/edgar/data/1806347/000110465922069935/tm2212886d6_ex10-19.htm" TargetMode="External"/><Relationship Id="rId146" Type="http://schemas.openxmlformats.org/officeDocument/2006/relationships/hyperlink" Target="https://www.sec.gov/Archives/edgar/data/1806347/000110465922069935/tm2212886d6_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2023-03-21T15:19:53Z</dcterms:created>
  <dcterms:modified xsi:type="dcterms:W3CDTF">2023-03-21T15:19:53Z</dcterms:modified>
</cp:coreProperties>
</file>