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est-20260630x10q.htm"/>
        <w:bookmarkStart w:id="1" w:name="kswes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e5e3f7db_a928_43d5_9ce7_4d3addc185b0"/>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TRANSITION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transition period from _____ to _____.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001-41485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15697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6970" cy="7664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WESTROCK COFFEE COMPANY</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IzvvWD-RhEmy6U265Qhrag_5_2"/>
      <w:bookmarkStart w:id="4" w:name="Tc__NfaAQD17kqMxY-pem-gpg_5_0"/>
      <w:bookmarkStart w:id="5" w:name="Tc_2qJRHqhV1kmlX-dKa262yg_4_0"/>
      <w:bookmarkStart w:id="6" w:name="Tc_i-g15d86PUu-GzgYxMqeeg_1_2"/>
      <w:bookmarkStart w:id="7" w:name="Tc_cQL8FEW690KsV6FrxvtguQ_1_0"/>
      <w:bookmarkStart w:id="8" w:name="_c90f3757_9d75_4c7d_bdf1_588a02f805b9"/>
      <w:bookmarkStart w:id="9" w:name="Tc_IzvvWD-RhEmy6U265Qhrag_5_2"/>
      <w:bookmarkStart w:id="10" w:name="Tc__NfaAQD17kqMxY-pem-gpg_5_0"/>
      <w:bookmarkStart w:id="11" w:name="Tc_2qJRHqhV1kmlX-dKa262yg_4_0"/>
      <w:bookmarkStart w:id="12" w:name="Tc_i-g15d86PUu-GzgYxMqeeg_1_2"/>
      <w:bookmarkStart w:id="13" w:name="Tc_cQL8FEW690KsV6FrxvtguQ_1_0"/>
      <w:bookmarkStart w:id="14" w:name="_c90f3757_9d75_4c7d_bdf1_588a02f805b9"/>
      <w:bookmarkEnd w:id="9"/>
      <w:bookmarkEnd w:id="10"/>
      <w:bookmarkEnd w:id="11"/>
      <w:bookmarkEnd w:id="12"/>
      <w:bookmarkEnd w:id="13"/>
      <w:bookmarkEnd w:id="14"/>
    </w:p>
    <w:tbl>
      <w:tblPr>
        <w:tblW w:w="4086" w:type="dxa"/>
        <w:jc w:val="left"/>
        <w:tblInd w:w="0" w:type="dxa"/>
        <w:tblLayout w:type="fixed"/>
        <w:tblCellMar>
          <w:top w:w="0" w:type="dxa"/>
          <w:left w:w="0" w:type="dxa"/>
          <w:bottom w:w="0" w:type="dxa"/>
          <w:right w:w="0" w:type="dxa"/>
        </w:tblCellMar>
      </w:tblPr>
      <w:tblGrid>
        <w:gridCol w:w="2506"/>
        <w:gridCol w:w="109"/>
        <w:gridCol w:w="1471"/>
      </w:tblGrid>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80-0977200</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 xml:space="preserve">(State or Other Jurisdiction of </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Identification Number)</w:t>
            </w:r>
          </w:p>
        </w:tc>
      </w:tr>
      <w:tr>
        <w:trPr/>
        <w:tc>
          <w:tcPr>
            <w:tcW w:w="2506"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4009 N. Rodney Parham Road, 4th Floor</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Little Rock, Arkansas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72212</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(501) 918-9358</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 applicable</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5" w:name="Tc_kyAFmaFVsU2s6_ql_82XmQ_1_2"/>
      <w:bookmarkStart w:id="16" w:name="Tc_FboRkzWWpk69JyZMcLRlzg_1_1"/>
      <w:bookmarkStart w:id="17" w:name="Tc_T58zHeBcM0ynh6x2_Tl6RQ_1_0"/>
      <w:bookmarkStart w:id="18" w:name="_b972fbd9_60cf_44d7_80ed_6b4b3324ef17"/>
      <w:bookmarkStart w:id="19" w:name="Tc_kyAFmaFVsU2s6_ql_82XmQ_1_2"/>
      <w:bookmarkStart w:id="20" w:name="Tc_FboRkzWWpk69JyZMcLRlzg_1_1"/>
      <w:bookmarkStart w:id="21" w:name="Tc_T58zHeBcM0ynh6x2_Tl6RQ_1_0"/>
      <w:bookmarkStart w:id="22" w:name="_b972fbd9_60cf_44d7_80ed_6b4b3324ef17"/>
      <w:bookmarkEnd w:id="19"/>
      <w:bookmarkEnd w:id="20"/>
      <w:bookmarkEnd w:id="21"/>
      <w:bookmarkEnd w:id="22"/>
    </w:p>
    <w:tbl>
      <w:tblPr>
        <w:tblW w:w="6813" w:type="dxa"/>
        <w:jc w:val="left"/>
        <w:tblInd w:w="0" w:type="dxa"/>
        <w:tblLayout w:type="fixed"/>
        <w:tblCellMar>
          <w:top w:w="0" w:type="dxa"/>
          <w:left w:w="0" w:type="dxa"/>
          <w:bottom w:w="0" w:type="dxa"/>
          <w:right w:w="0" w:type="dxa"/>
        </w:tblCellMar>
      </w:tblPr>
      <w:tblGrid>
        <w:gridCol w:w="3001"/>
        <w:gridCol w:w="1186"/>
        <w:gridCol w:w="262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Shares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qewfOTGB6kuzv0aroe8oQA_2_0"/>
      <w:bookmarkStart w:id="24" w:name="Tc_W7q1rDAOt0uLvcfr936dmg_1_6"/>
      <w:bookmarkStart w:id="25" w:name="Tc_ShzuFgnc802KIwTwn-bBeQ_1_5"/>
      <w:bookmarkStart w:id="26" w:name="Tc_W4IbVK2tIUqxeEiWlZGwfQ_1_4"/>
      <w:bookmarkStart w:id="27" w:name="Tc_tTHkQYyb6ku3dSHMjB1WDQ_1_3"/>
      <w:bookmarkStart w:id="28" w:name="Tc_vqWhNn_v9kWi4mS-Tz3qTw_1_1"/>
      <w:bookmarkStart w:id="29" w:name="Tc_f7MPlE6MUkyGC6tyr7jkWQ_1_0"/>
      <w:bookmarkStart w:id="30" w:name="_aae95d66_9b88_4319_87a2_65efb7bdaf96"/>
      <w:bookmarkStart w:id="31" w:name="Tc_qewfOTGB6kuzv0aroe8oQA_2_0"/>
      <w:bookmarkStart w:id="32" w:name="Tc_W7q1rDAOt0uLvcfr936dmg_1_6"/>
      <w:bookmarkStart w:id="33" w:name="Tc_ShzuFgnc802KIwTwn-bBeQ_1_5"/>
      <w:bookmarkStart w:id="34" w:name="Tc_W4IbVK2tIUqxeEiWlZGwfQ_1_4"/>
      <w:bookmarkStart w:id="35" w:name="Tc_tTHkQYyb6ku3dSHMjB1WDQ_1_3"/>
      <w:bookmarkStart w:id="36" w:name="Tc_vqWhNn_v9kWi4mS-Tz3qTw_1_1"/>
      <w:bookmarkStart w:id="37" w:name="Tc_f7MPlE6MUkyGC6tyr7jkWQ_1_0"/>
      <w:bookmarkStart w:id="38" w:name="_aae95d66_9b88_4319_87a2_65efb7bdaf96"/>
      <w:bookmarkEnd w:id="31"/>
      <w:bookmarkEnd w:id="32"/>
      <w:bookmarkEnd w:id="33"/>
      <w:bookmarkEnd w:id="34"/>
      <w:bookmarkEnd w:id="35"/>
      <w:bookmarkEnd w:id="36"/>
      <w:bookmarkEnd w:id="37"/>
      <w:bookmarkEnd w:id="38"/>
    </w:p>
    <w:tbl>
      <w:tblPr>
        <w:tblW w:w="6968" w:type="dxa"/>
        <w:jc w:val="left"/>
        <w:tblInd w:w="0" w:type="dxa"/>
        <w:tblLayout w:type="fixed"/>
        <w:tblCellMar>
          <w:top w:w="0" w:type="dxa"/>
          <w:left w:w="0" w:type="dxa"/>
          <w:bottom w:w="0" w:type="dxa"/>
          <w:right w:w="0" w:type="dxa"/>
        </w:tblCellMar>
      </w:tblPr>
      <w:tblGrid>
        <w:gridCol w:w="1666"/>
        <w:gridCol w:w="316"/>
        <w:gridCol w:w="1036"/>
        <w:gridCol w:w="316"/>
        <w:gridCol w:w="1291"/>
        <w:gridCol w:w="316"/>
        <w:gridCol w:w="1666"/>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 of July 31, 2026, the Registrant had 97,627,387 shares of common stock, par value $0.01 per share,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lineRule="atLeast" w:line="210" w:before="0" w:after="200"/>
        <w:ind w:left="0" w:right="0" w:hanging="0"/>
        <w:jc w:val="center"/>
        <w:rPr>
          <w:rFonts w:ascii="Times New Roman;Times;serif" w:hAnsi="Times New Roman;Times;serif"/>
          <w:b/>
          <w:sz w:val="20"/>
        </w:rPr>
      </w:pPr>
      <w:bookmarkStart w:id="39" w:name="_f1c95f02_ead0_420f_8c92_306ac35dad51"/>
      <w:bookmarkEnd w:id="39"/>
      <w:r>
        <w:rPr>
          <w:rFonts w:ascii="Times New Roman;Times;serif" w:hAnsi="Times New Roman;Times;serif"/>
          <w:b/>
          <w:sz w:val="20"/>
        </w:rPr>
        <w:t>CAUTIONARY NOTE REGARDING FORWARD-LOOKING STATEMENTS</w:t>
      </w:r>
    </w:p>
    <w:p>
      <w:pPr>
        <w:pStyle w:val="TextBody"/>
        <w:bidi w:val="0"/>
        <w:spacing w:lineRule="atLeast" w:line="210" w:before="0" w:after="200"/>
        <w:ind w:left="0" w:right="0" w:hanging="0"/>
        <w:jc w:val="left"/>
        <w:rPr>
          <w:rFonts w:ascii="Times New Roman;Times;serif" w:hAnsi="Times New Roman;Times;serif"/>
          <w:sz w:val="20"/>
        </w:rPr>
      </w:pPr>
      <w:r>
        <w:rPr>
          <w:rFonts w:ascii="Times New Roman;Times;serif" w:hAnsi="Times New Roman;Times;serif"/>
          <w:spacing w:val="4"/>
          <w:sz w:val="20"/>
        </w:rPr>
        <w:t>This Quarterly Report on Form 10-Q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commercialization of customers within the anticipated time frame of our Conway, Arkansas facility and our ability to sell or commit capacity; our expectations regarding capital expenditures;</w:t>
      </w:r>
      <w:r>
        <w:rPr>
          <w:rFonts w:ascii="Times New Roman;Times;serif" w:hAnsi="Times New Roman;Times;serif"/>
          <w:sz w:val="20"/>
        </w:rPr>
        <w:t xml:space="preserve"> and </w:t>
      </w:r>
      <w:r>
        <w:rPr>
          <w:rFonts w:ascii="Times New Roman;Times;serif" w:hAnsi="Times New Roman;Times;serif"/>
          <w:spacing w:val="4"/>
          <w:sz w:val="20"/>
        </w:rPr>
        <w:t>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bidi w:val="0"/>
        <w:spacing w:lineRule="atLeast" w:line="21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There are or will be important factors that could cause our actual results to differ materially from those indicated in these forward-looking statements, including, but not limited to, risks related to the following:</w:t>
      </w:r>
    </w:p>
    <w:p>
      <w:pPr>
        <w:pStyle w:val="TextBody"/>
        <w:bidi w:val="0"/>
        <w:spacing w:before="0" w:after="0"/>
        <w:ind w:left="0" w:right="0" w:firstLine="40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fact that we have incurred net losses in the past, may incur net losses in the future, and may not achieve profitability;</w:t>
            </w:r>
          </w:p>
        </w:tc>
      </w:tr>
    </w:tbl>
    <w:tbl>
      <w:tblPr>
        <w:tblW w:w="7972" w:type="dxa"/>
        <w:jc w:val="left"/>
        <w:tblInd w:w="0" w:type="dxa"/>
        <w:tblLayout w:type="fixed"/>
        <w:tblCellMar>
          <w:top w:w="28" w:type="dxa"/>
          <w:left w:w="28" w:type="dxa"/>
          <w:bottom w:w="28" w:type="dxa"/>
          <w:right w:w="28" w:type="dxa"/>
        </w:tblCellMar>
      </w:tblPr>
      <w:tblGrid>
        <w:gridCol w:w="124"/>
        <w:gridCol w:w="256"/>
        <w:gridCol w:w="759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risks associated with operating a coffee trading business and a coffee exporting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volatility and increases in the cost of green coffee, tea and other ingredients and packaging, and our inability to pass these costs on to customers;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an adequate supply of key raw materials, including green coffee and tea, or a disruption in our supply chain;</w:t>
            </w:r>
          </w:p>
        </w:tc>
      </w:tr>
    </w:tbl>
    <w:p>
      <w:pPr>
        <w:pStyle w:val="TextBody"/>
        <w:pBdr/>
        <w:bidi w:val="0"/>
        <w:spacing w:before="0" w:after="0"/>
        <w:ind w:left="360" w:right="0" w:hanging="360"/>
        <w:jc w:val="left"/>
        <w:rPr/>
      </w:pPr>
      <w:r>
        <w:rPr/>
        <w:t>​</w:t>
      </w:r>
    </w:p>
    <w:tbl>
      <w:tblPr>
        <w:tblW w:w="10133" w:type="dxa"/>
        <w:jc w:val="left"/>
        <w:tblInd w:w="0" w:type="dxa"/>
        <w:tblLayout w:type="fixed"/>
        <w:tblCellMar>
          <w:top w:w="28" w:type="dxa"/>
          <w:left w:w="28" w:type="dxa"/>
          <w:bottom w:w="28" w:type="dxa"/>
          <w:right w:w="28" w:type="dxa"/>
        </w:tblCellMar>
      </w:tblPr>
      <w:tblGrid>
        <w:gridCol w:w="124"/>
        <w:gridCol w:w="256"/>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deterioration in general macroeconomic conditions and/or decreases in consumer spending on discretionary items;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disruption in operations at any of our, our suppliers’ or our co-manufacturers’ production, distribution or manufacturing facilities or other loss of manufacturing capacity;</w:t>
            </w:r>
          </w:p>
        </w:tc>
      </w:tr>
    </w:tbl>
    <w:tbl>
      <w:tblPr>
        <w:tblW w:w="7886" w:type="dxa"/>
        <w:jc w:val="left"/>
        <w:tblInd w:w="0" w:type="dxa"/>
        <w:tblLayout w:type="fixed"/>
        <w:tblCellMar>
          <w:top w:w="28" w:type="dxa"/>
          <w:left w:w="28" w:type="dxa"/>
          <w:bottom w:w="28" w:type="dxa"/>
          <w:right w:w="28" w:type="dxa"/>
        </w:tblCellMar>
      </w:tblPr>
      <w:tblGrid>
        <w:gridCol w:w="124"/>
        <w:gridCol w:w="256"/>
        <w:gridCol w:w="7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anticipate customer preferences and successfully develop new products;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climate change, which may increase commodity costs, damage our facilities and disrupt our production capabilities and supply chain;</w:t>
            </w:r>
          </w:p>
        </w:tc>
      </w:tr>
    </w:tbl>
    <w:p>
      <w:pPr>
        <w:pStyle w:val="TextBody"/>
        <w:pBdr/>
        <w:bidi w:val="0"/>
        <w:spacing w:before="0" w:after="0"/>
        <w:ind w:left="360" w:right="0" w:hanging="360"/>
        <w:jc w:val="left"/>
        <w:rPr/>
      </w:pPr>
      <w:r>
        <w:rPr/>
        <w:t>​</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failure to retain key personnel or recruit qualified personnel;</w:t>
            </w:r>
          </w:p>
        </w:tc>
      </w:tr>
    </w:tbl>
    <w:p>
      <w:pPr>
        <w:pStyle w:val="TextBody"/>
        <w:pBdr/>
        <w:bidi w:val="0"/>
        <w:spacing w:before="0" w:after="0"/>
        <w:ind w:left="360" w:right="0" w:hanging="360"/>
        <w:jc w:val="left"/>
        <w:rPr/>
      </w:pPr>
      <w:r>
        <w:rPr/>
        <w:t>​</w:t>
      </w:r>
    </w:p>
    <w:tbl>
      <w:tblPr>
        <w:tblW w:w="3864" w:type="dxa"/>
        <w:jc w:val="left"/>
        <w:tblInd w:w="0" w:type="dxa"/>
        <w:tblLayout w:type="fixed"/>
        <w:tblCellMar>
          <w:top w:w="28" w:type="dxa"/>
          <w:left w:w="28" w:type="dxa"/>
          <w:bottom w:w="28" w:type="dxa"/>
          <w:right w:w="28" w:type="dxa"/>
        </w:tblCellMar>
      </w:tblPr>
      <w:tblGrid>
        <w:gridCol w:w="124"/>
        <w:gridCol w:w="256"/>
        <w:gridCol w:w="34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hedge commodity risks;</w:t>
            </w:r>
          </w:p>
        </w:tc>
      </w:tr>
    </w:tbl>
    <w:p>
      <w:pPr>
        <w:pStyle w:val="TextBody"/>
        <w:pBdr/>
        <w:bidi w:val="0"/>
        <w:spacing w:before="0" w:after="0"/>
        <w:ind w:left="360" w:right="0" w:hanging="360"/>
        <w:jc w:val="left"/>
        <w:rPr/>
      </w:pPr>
      <w:r>
        <w:rPr/>
        <w:t>​</w:t>
      </w:r>
    </w:p>
    <w:tbl>
      <w:tblPr>
        <w:tblW w:w="7584" w:type="dxa"/>
        <w:jc w:val="left"/>
        <w:tblInd w:w="0" w:type="dxa"/>
        <w:tblLayout w:type="fixed"/>
        <w:tblCellMar>
          <w:top w:w="28" w:type="dxa"/>
          <w:left w:w="28" w:type="dxa"/>
          <w:bottom w:w="28" w:type="dxa"/>
          <w:right w:w="28" w:type="dxa"/>
        </w:tblCellMar>
      </w:tblPr>
      <w:tblGrid>
        <w:gridCol w:w="124"/>
        <w:gridCol w:w="256"/>
        <w:gridCol w:w="72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consolidation among our distributors and customers or the loss of any key customer;</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complex and evolving U.S. and international laws and regulations, and noncompliance therewith subjecting us to criminal or civil liability;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acquisitions of businesses, which may divert our management’s attention, prove difficult to effectively integrate and fail to achieve their projected benefits;</w:t>
            </w:r>
          </w:p>
        </w:tc>
      </w:tr>
    </w:tbl>
    <w:p>
      <w:pPr>
        <w:pStyle w:val="TextBody"/>
        <w:pBdr/>
        <w:bidi w:val="0"/>
        <w:spacing w:before="0" w:after="0"/>
        <w:ind w:left="360" w:right="0" w:hanging="360"/>
        <w:jc w:val="left"/>
        <w:rPr/>
      </w:pPr>
      <w:r>
        <w:rPr/>
        <w:t>​</w:t>
      </w:r>
    </w:p>
    <w:tbl>
      <w:tblPr>
        <w:tblW w:w="7964" w:type="dxa"/>
        <w:jc w:val="left"/>
        <w:tblInd w:w="0" w:type="dxa"/>
        <w:tblLayout w:type="fixed"/>
        <w:tblCellMar>
          <w:top w:w="28" w:type="dxa"/>
          <w:left w:w="28" w:type="dxa"/>
          <w:bottom w:w="28" w:type="dxa"/>
          <w:right w:w="28" w:type="dxa"/>
        </w:tblCellMar>
      </w:tblPr>
      <w:tblGrid>
        <w:gridCol w:w="124"/>
        <w:gridCol w:w="256"/>
        <w:gridCol w:w="75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effectively manage the growth and increased complexity of our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maintain or grow market share through continued differentiation of our product and competitive pricing;</w:t>
            </w:r>
          </w:p>
        </w:tc>
      </w:tr>
    </w:tbl>
    <w:p>
      <w:pPr>
        <w:pStyle w:val="TextBody"/>
        <w:pBdr/>
        <w:bidi w:val="0"/>
        <w:spacing w:before="0" w:after="0"/>
        <w:ind w:left="360" w:right="0" w:hanging="360"/>
        <w:jc w:val="left"/>
        <w:rPr/>
      </w:pPr>
      <w:r>
        <w:rPr/>
        <w:t>​</w:t>
      </w:r>
    </w:p>
    <w:tbl>
      <w:tblPr>
        <w:tblW w:w="7727" w:type="dxa"/>
        <w:jc w:val="left"/>
        <w:tblInd w:w="0" w:type="dxa"/>
        <w:tblLayout w:type="fixed"/>
        <w:tblCellMar>
          <w:top w:w="28" w:type="dxa"/>
          <w:left w:w="28" w:type="dxa"/>
          <w:bottom w:w="28" w:type="dxa"/>
          <w:right w:w="28" w:type="dxa"/>
        </w:tblCellMar>
      </w:tblPr>
      <w:tblGrid>
        <w:gridCol w:w="124"/>
        <w:gridCol w:w="256"/>
        <w:gridCol w:w="734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the additional capital needed to operate and grow our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litigation or legal disputes, which could lead us to incur significant liabilities and costs or harm our reputation;</w:t>
            </w:r>
          </w:p>
        </w:tc>
      </w:tr>
    </w:tbl>
    <w:p>
      <w:pPr>
        <w:pStyle w:val="TextBody"/>
        <w:bidi w:val="0"/>
        <w:spacing w:before="0" w:after="0"/>
        <w:ind w:left="1080" w:right="0" w:hanging="0"/>
        <w:jc w:val="left"/>
        <w:rPr/>
      </w:pPr>
      <w:r>
        <w:rPr/>
        <w:t>​</w:t>
      </w:r>
    </w:p>
    <w:tbl>
      <w:tblPr>
        <w:tblW w:w="7653" w:type="dxa"/>
        <w:jc w:val="left"/>
        <w:tblInd w:w="0" w:type="dxa"/>
        <w:tblLayout w:type="fixed"/>
        <w:tblCellMar>
          <w:top w:w="28" w:type="dxa"/>
          <w:left w:w="28" w:type="dxa"/>
          <w:bottom w:w="28" w:type="dxa"/>
          <w:right w:w="28" w:type="dxa"/>
        </w:tblCellMar>
      </w:tblPr>
      <w:tblGrid>
        <w:gridCol w:w="124"/>
        <w:gridCol w:w="256"/>
        <w:gridCol w:w="72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material failure, inadequacy or interruption of our information technology systems;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unauthorized access, theft, use or destruction of personal, financial or other confidential information relating to our customers, suppliers, employees or business;</w:t>
            </w:r>
          </w:p>
        </w:tc>
      </w:tr>
    </w:tbl>
    <w:p>
      <w:pPr>
        <w:pStyle w:val="TextBody"/>
        <w:pBdr/>
        <w:bidi w:val="0"/>
        <w:spacing w:before="0" w:after="0"/>
        <w:ind w:left="360" w:right="0" w:hanging="36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future level of indebtedness, which may reduce funds available for other business purposes and reduce our operational flexibility;</w:t>
            </w:r>
          </w:p>
        </w:tc>
      </w:tr>
    </w:tbl>
    <w:p>
      <w:pPr>
        <w:pStyle w:val="TextBody"/>
        <w:pBdr/>
        <w:bidi w:val="0"/>
        <w:spacing w:before="0" w:after="0"/>
        <w:ind w:left="360" w:right="0" w:hanging="360"/>
        <w:jc w:val="left"/>
        <w:rPr/>
      </w:pPr>
      <w:r>
        <w:rPr/>
        <w:t>​</w:t>
      </w:r>
    </w:p>
    <w:tbl>
      <w:tblPr>
        <w:tblW w:w="6953" w:type="dxa"/>
        <w:jc w:val="left"/>
        <w:tblInd w:w="0" w:type="dxa"/>
        <w:tblLayout w:type="fixed"/>
        <w:tblCellMar>
          <w:top w:w="28" w:type="dxa"/>
          <w:left w:w="28" w:type="dxa"/>
          <w:bottom w:w="28" w:type="dxa"/>
          <w:right w:w="28" w:type="dxa"/>
        </w:tblCellMar>
      </w:tblPr>
      <w:tblGrid>
        <w:gridCol w:w="124"/>
        <w:gridCol w:w="256"/>
        <w:gridCol w:w="65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comply with the financial covenants in our credit agreement;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successfully commercialize customers at our Conway, Arkansas facility, and generate positive operating cash flows within the anticipated time frame;</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corporate structure and organization, which may prevent or delay attempts to acquire a controlling interest in the Company;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largest shareholders (and certain members of our management team) own a significant percentage of our stock and will be able to exert significant control over matters subject to shareholder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global economic conditions, including those caused by tariffs and trading restrictions,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tc>
      </w:tr>
    </w:tbl>
    <w:p>
      <w:pPr>
        <w:pStyle w:val="TextBody"/>
        <w:pBdr/>
        <w:bidi w:val="0"/>
        <w:spacing w:before="0" w:after="0"/>
        <w:ind w:left="360" w:right="0" w:hanging="360"/>
        <w:jc w:val="left"/>
        <w:rPr/>
      </w:pPr>
      <w:r>
        <w:rPr/>
        <w:t>​</w:t>
      </w:r>
    </w:p>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other risks, uncertainties and factors set forth in the “Business” and “Risk Factors” sections </w:t>
            </w:r>
            <w:r>
              <w:rPr>
                <w:rFonts w:ascii="Times New Roman;Times;serif" w:hAnsi="Times New Roman;Times;serif"/>
                <w:b w:val="false"/>
                <w:i w:val="false"/>
                <w:caps w:val="false"/>
                <w:smallCaps w:val="false"/>
                <w:sz w:val="20"/>
              </w:rPr>
              <w:t xml:space="preserve">in the Company’s Annual Report on Form 10-K filed with the U.S. Securities and Exchange Commission (“SEC”) on March 10, 2026 (“Annual Report”) </w:t>
            </w:r>
            <w:r>
              <w:rPr>
                <w:rFonts w:ascii="Times New Roman;Times;serif" w:hAnsi="Times New Roman;Times;serif"/>
                <w:b w:val="false"/>
                <w:i w:val="false"/>
                <w:caps w:val="false"/>
                <w:smallCaps w:val="false"/>
                <w:spacing w:val="4"/>
                <w:sz w:val="20"/>
              </w:rPr>
              <w:t xml:space="preserve">and in the “Management’s Discussion and Analysis of Financial Condition and Results of Operations” and “Risk Factors” sections of this Quarterly Report on Form 10-Q, as well as those described from time to time in our future reports filed with the SEC. </w:t>
            </w:r>
          </w:p>
        </w:tc>
      </w:tr>
    </w:tbl>
    <w:p>
      <w:pPr>
        <w:pStyle w:val="TextBody"/>
        <w:bidi w:val="0"/>
        <w:spacing w:before="0" w:after="0"/>
        <w:ind w:left="0" w:right="0" w:hanging="0"/>
        <w:jc w:val="left"/>
        <w:rPr/>
      </w:pPr>
      <w:r>
        <w:rPr/>
        <w:t>​</w:t>
      </w:r>
    </w:p>
    <w:p>
      <w:pPr>
        <w:pStyle w:val="TextBody"/>
        <w:bidi w:val="0"/>
        <w:spacing w:before="0" w:after="0"/>
        <w:ind w:left="0" w:right="0" w:firstLine="400"/>
        <w:jc w:val="left"/>
        <w:rPr>
          <w:spacing w:val="4"/>
        </w:rPr>
      </w:pPr>
      <w:r>
        <w:rPr>
          <w:spacing w:val="4"/>
        </w:rPr>
        <w:t>​</w:t>
      </w:r>
    </w:p>
    <w:p>
      <w:pPr>
        <w:pStyle w:val="TextBody"/>
        <w:bidi w:val="0"/>
        <w:spacing w:lineRule="atLeast" w:line="22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left"/>
        <w:rPr>
          <w:spacing w:val="4"/>
        </w:rPr>
      </w:pPr>
      <w:r>
        <w:rPr>
          <w:spacing w:val="4"/>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aps/>
          <w:sz w:val="20"/>
        </w:rPr>
      </w:pPr>
      <w:bookmarkStart w:id="40" w:name="TOC"/>
      <w:bookmarkStart w:id="41" w:name="_1650f5e7_c481_4780_a22a_f782ed1f0f36"/>
      <w:bookmarkEnd w:id="40"/>
      <w:bookmarkEnd w:id="41"/>
      <w:r>
        <w:rPr>
          <w:rFonts w:ascii="Times New Roman;Times;serif" w:hAnsi="Times New Roman;Times;serif"/>
          <w:b/>
          <w:caps/>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583" w:type="dxa"/>
        <w:jc w:val="left"/>
        <w:tblInd w:w="0" w:type="dxa"/>
        <w:tblLayout w:type="fixed"/>
        <w:tblCellMar>
          <w:top w:w="0" w:type="dxa"/>
          <w:left w:w="0" w:type="dxa"/>
          <w:bottom w:w="0" w:type="dxa"/>
          <w:right w:w="0" w:type="dxa"/>
        </w:tblCellMar>
      </w:tblPr>
      <w:tblGrid>
        <w:gridCol w:w="811"/>
        <w:gridCol w:w="7366"/>
        <w:gridCol w:w="40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57810" cy="29210"/>
                      <wp:effectExtent l="0" t="0" r="0" b="0"/>
                      <wp:wrapNone/>
                      <wp:docPr id="4" name="Frame3"/>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Financial Information</w:t>
              </w:r>
            </w:hyperlink>
          </w:p>
        </w:tc>
        <w:tc>
          <w:tcPr>
            <w:tcW w:w="406" w:type="dxa"/>
            <w:tcBorders/>
            <w:vAlign w:val="center"/>
          </w:tcPr>
          <w:p>
            <w:pPr>
              <w:pStyle w:val="TableContents"/>
              <w:bidi w:val="0"/>
              <w:spacing w:lineRule="atLeast" w:line="18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Financial Statements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Condensed Consolidated Balance</w:t>
              </w:r>
            </w:hyperlink>
            <w:hyperlink w:anchor="BalanceSheets">
              <w:r>
                <w:rPr>
                  <w:rStyle w:val="InternetLink"/>
                  <w:rFonts w:ascii="Times New Roman;Times;serif" w:hAnsi="Times New Roman;Times;serif"/>
                  <w:caps w:val="false"/>
                  <w:smallCaps w:val="false"/>
                  <w:sz w:val="20"/>
                </w:rPr>
                <w:t xml:space="preserve"> </w:t>
              </w:r>
            </w:hyperlink>
            <w:hyperlink w:anchor="BalanceSheets">
              <w:r>
                <w:rPr>
                  <w:rStyle w:val="InternetLink"/>
                  <w:rFonts w:ascii="Times New Roman;Times;serif" w:hAnsi="Times New Roman;Times;serif"/>
                  <w:b w:val="false"/>
                  <w:i w:val="false"/>
                  <w:caps w:val="false"/>
                  <w:smallCaps w:val="false"/>
                  <w:sz w:val="20"/>
                </w:rPr>
                <w:t>Sheets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ONSOLIDATEDSTATEMENTOFOPERATIONS_105916">
              <w:r>
                <w:rPr>
                  <w:rStyle w:val="InternetLink"/>
                  <w:rFonts w:ascii="Times New Roman;Times;serif" w:hAnsi="Times New Roman;Times;serif"/>
                  <w:b w:val="false"/>
                  <w:i w:val="false"/>
                  <w:caps w:val="false"/>
                  <w:smallCaps w:val="false"/>
                  <w:sz w:val="20"/>
                </w:rPr>
                <w:t>Condensed Consolidated Statements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OMPREHENSIVELOSS">
              <w:r>
                <w:rPr>
                  <w:rStyle w:val="InternetLink"/>
                  <w:rFonts w:ascii="Times New Roman;Times;serif" w:hAnsi="Times New Roman;Times;serif"/>
                  <w:b w:val="false"/>
                  <w:i w:val="false"/>
                  <w:caps w:val="false"/>
                  <w:smallCaps w:val="false"/>
                  <w:sz w:val="20"/>
                </w:rPr>
                <w:t>Condensed Consolidated Statements of Comprehensive Income (Loss)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UNITHOLDERSDEFICI">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ASHFLOWS_338430">
              <w:r>
                <w:rPr>
                  <w:rStyle w:val="InternetLink"/>
                  <w:rFonts w:ascii="Times New Roman;Times;serif" w:hAnsi="Times New Roman;Times;serif"/>
                  <w:b w:val="false"/>
                  <w:i w:val="false"/>
                  <w:caps w:val="false"/>
                  <w:smallCaps w:val="false"/>
                  <w:sz w:val="20"/>
                </w:rPr>
                <w:t>Condensed Consolidated Statements of Cash Flows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1. Organization and Description of Business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2BasisofPresentationandConsolidation">
              <w:r>
                <w:rPr>
                  <w:rStyle w:val="InternetLink"/>
                  <w:rFonts w:ascii="Times New Roman;Times;serif" w:hAnsi="Times New Roman;Times;serif"/>
                  <w:b w:val="false"/>
                  <w:i w:val="false"/>
                  <w:caps w:val="false"/>
                  <w:smallCaps w:val="false"/>
                  <w:sz w:val="20"/>
                </w:rPr>
                <w:t>2. Basis of Presentation and Consolidation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3SummaryofSignificantAccountingPolic">
              <w:r>
                <w:rPr>
                  <w:rStyle w:val="InternetLink"/>
                  <w:rFonts w:ascii="Times New Roman;Times;serif" w:hAnsi="Times New Roman;Times;serif"/>
                  <w:b w:val="false"/>
                  <w:i w:val="false"/>
                  <w:caps w:val="false"/>
                  <w:smallCaps w:val="false"/>
                  <w:sz w:val="20"/>
                </w:rPr>
                <w:t>3. Summary of Significant Accounting Policies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5Revenue_380696">
              <w:r>
                <w:rPr>
                  <w:rStyle w:val="InternetLink"/>
                  <w:rFonts w:ascii="Times New Roman;Times;serif" w:hAnsi="Times New Roman;Times;serif"/>
                  <w:b w:val="false"/>
                  <w:i w:val="false"/>
                  <w:caps w:val="false"/>
                  <w:smallCaps w:val="false"/>
                  <w:sz w:val="20"/>
                </w:rPr>
                <w:t>4. Revenue</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6Inventories_518642">
              <w:r>
                <w:rPr>
                  <w:rStyle w:val="InternetLink"/>
                  <w:rFonts w:ascii="Times New Roman;Times;serif" w:hAnsi="Times New Roman;Times;serif"/>
                  <w:b w:val="false"/>
                  <w:i w:val="false"/>
                  <w:caps w:val="false"/>
                  <w:smallCaps w:val="false"/>
                  <w:sz w:val="20"/>
                </w:rPr>
                <w:t>5. Inventories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7PropertyPlantandEquipmentNet_819358">
              <w:r>
                <w:rPr>
                  <w:rStyle w:val="InternetLink"/>
                  <w:rFonts w:ascii="Times New Roman;Times;serif" w:hAnsi="Times New Roman;Times;serif"/>
                  <w:b w:val="false"/>
                  <w:i w:val="false"/>
                  <w:caps w:val="false"/>
                  <w:smallCaps w:val="false"/>
                  <w:sz w:val="20"/>
                </w:rPr>
                <w:t>6. Property, Plant and Equipment, Net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8Goodwill_242269">
              <w:r>
                <w:rPr>
                  <w:rStyle w:val="InternetLink"/>
                  <w:rFonts w:ascii="Times New Roman;Times;serif" w:hAnsi="Times New Roman;Times;serif"/>
                  <w:b w:val="false"/>
                  <w:i w:val="false"/>
                  <w:caps w:val="false"/>
                  <w:smallCaps w:val="false"/>
                  <w:sz w:val="20"/>
                </w:rPr>
                <w:t>7. Goodwill</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9IntangibleAssetsNet_958231">
              <w:r>
                <w:rPr>
                  <w:rStyle w:val="InternetLink"/>
                  <w:rFonts w:ascii="Times New Roman;Times;serif" w:hAnsi="Times New Roman;Times;serif"/>
                  <w:b w:val="false"/>
                  <w:i w:val="false"/>
                  <w:caps w:val="false"/>
                  <w:smallCaps w:val="false"/>
                  <w:sz w:val="20"/>
                </w:rPr>
                <w:t>8. Intangible Assets, Net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0Leases_707775">
              <w:r>
                <w:rPr>
                  <w:rStyle w:val="InternetLink"/>
                  <w:rFonts w:ascii="Times New Roman;Times;serif" w:hAnsi="Times New Roman;Times;serif"/>
                  <w:b w:val="false"/>
                  <w:i w:val="false"/>
                  <w:caps w:val="false"/>
                  <w:smallCaps w:val="false"/>
                  <w:sz w:val="20"/>
                </w:rPr>
                <w:t>9. Leases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1Debt_937033">
              <w:r>
                <w:rPr>
                  <w:rStyle w:val="InternetLink"/>
                  <w:rFonts w:ascii="Times New Roman;Times;serif" w:hAnsi="Times New Roman;Times;serif"/>
                  <w:b w:val="false"/>
                  <w:i w:val="false"/>
                  <w:caps w:val="false"/>
                  <w:smallCaps w:val="false"/>
                  <w:sz w:val="20"/>
                </w:rPr>
                <w:t>10. Debt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2SeriesAPreferredShares">
              <w:r>
                <w:rPr>
                  <w:rStyle w:val="InternetLink"/>
                  <w:rFonts w:ascii="Times New Roman;Times;serif" w:hAnsi="Times New Roman;Times;serif"/>
                  <w:b w:val="false"/>
                  <w:i w:val="false"/>
                  <w:caps w:val="false"/>
                  <w:smallCaps w:val="false"/>
                  <w:sz w:val="20"/>
                </w:rPr>
                <w:t>11. Series A Preferred Shares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3Derivatives_643440">
              <w:r>
                <w:rPr>
                  <w:rStyle w:val="InternetLink"/>
                  <w:rFonts w:ascii="Times New Roman;Times;serif" w:hAnsi="Times New Roman;Times;serif"/>
                  <w:b w:val="false"/>
                  <w:i w:val="false"/>
                  <w:caps w:val="false"/>
                  <w:smallCaps w:val="false"/>
                  <w:sz w:val="20"/>
                </w:rPr>
                <w:t>12. Derivatives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4FairValueMeasurements_1544">
              <w:r>
                <w:rPr>
                  <w:rStyle w:val="InternetLink"/>
                  <w:rFonts w:ascii="Times New Roman;Times;serif" w:hAnsi="Times New Roman;Times;serif"/>
                  <w:b w:val="false"/>
                  <w:i w:val="false"/>
                  <w:caps w:val="false"/>
                  <w:smallCaps w:val="false"/>
                  <w:sz w:val="20"/>
                </w:rPr>
                <w:t>13. Fair Value Measurements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5AccumulatedOtherComprehensiveIncom">
              <w:r>
                <w:rPr>
                  <w:rStyle w:val="InternetLink"/>
                  <w:rFonts w:ascii="Times New Roman;Times;serif" w:hAnsi="Times New Roman;Times;serif"/>
                  <w:b w:val="false"/>
                  <w:i w:val="false"/>
                  <w:caps w:val="false"/>
                  <w:smallCaps w:val="false"/>
                  <w:sz w:val="20"/>
                </w:rPr>
                <w:t>14. Accumulated Other Comprehensive Income (Loss)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6EquityBasedCompensation">
              <w:r>
                <w:rPr>
                  <w:rStyle w:val="InternetLink"/>
                  <w:rFonts w:ascii="Times New Roman;Times;serif" w:hAnsi="Times New Roman;Times;serif"/>
                  <w:b w:val="false"/>
                  <w:i w:val="false"/>
                  <w:caps w:val="false"/>
                  <w:smallCaps w:val="false"/>
                  <w:sz w:val="20"/>
                </w:rPr>
                <w:t>15. Equity-Based Compensation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7EarningsPerShare">
              <w:r>
                <w:rPr>
                  <w:rStyle w:val="InternetLink"/>
                  <w:rFonts w:ascii="Times New Roman;Times;serif" w:hAnsi="Times New Roman;Times;serif"/>
                  <w:b w:val="false"/>
                  <w:i w:val="false"/>
                  <w:caps w:val="false"/>
                  <w:smallCaps w:val="false"/>
                  <w:sz w:val="20"/>
                </w:rPr>
                <w:t>16. Earnings per Share</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8SegmentInformation_197889">
              <w:r>
                <w:rPr>
                  <w:rStyle w:val="InternetLink"/>
                  <w:rFonts w:ascii="Times New Roman;Times;serif" w:hAnsi="Times New Roman;Times;serif"/>
                  <w:b w:val="false"/>
                  <w:i w:val="false"/>
                  <w:caps w:val="false"/>
                  <w:smallCaps w:val="false"/>
                  <w:sz w:val="20"/>
                </w:rPr>
                <w:t>17. Segment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9CommitmentsandContingencies_748093">
              <w:r>
                <w:rPr>
                  <w:rStyle w:val="InternetLink"/>
                  <w:rFonts w:ascii="Times New Roman;Times;serif" w:hAnsi="Times New Roman;Times;serif"/>
                  <w:b w:val="false"/>
                  <w:i w:val="false"/>
                  <w:caps w:val="false"/>
                  <w:smallCaps w:val="false"/>
                  <w:sz w:val="20"/>
                </w:rPr>
                <w:t>18. Commitments and Contingencies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20RelatedPartyTransactions_229332">
              <w:r>
                <w:rPr>
                  <w:rStyle w:val="InternetLink"/>
                  <w:rFonts w:ascii="Times New Roman;Times;serif" w:hAnsi="Times New Roman;Times;serif"/>
                  <w:b w:val="false"/>
                  <w:i w:val="false"/>
                  <w:caps w:val="false"/>
                  <w:smallCaps w:val="false"/>
                  <w:sz w:val="20"/>
                </w:rPr>
                <w:t>19. Related Party Transactions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Overview_251396">
              <w:r>
                <w:rPr>
                  <w:rStyle w:val="InternetLink"/>
                  <w:rFonts w:ascii="Times New Roman;Times;serif" w:hAnsi="Times New Roman;Times;serif"/>
                  <w:b w:val="false"/>
                  <w:i w:val="false"/>
                  <w:caps w:val="false"/>
                  <w:smallCaps w:val="false"/>
                  <w:sz w:val="20"/>
                </w:rPr>
                <w:t>Overview</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SignificantDevelopments_873684">
              <w:r>
                <w:rPr>
                  <w:rStyle w:val="InternetLink"/>
                  <w:rFonts w:ascii="Times New Roman;Times;serif" w:hAnsi="Times New Roman;Times;serif"/>
                  <w:b w:val="false"/>
                  <w:i w:val="false"/>
                  <w:caps w:val="false"/>
                  <w:smallCaps w:val="false"/>
                  <w:sz w:val="20"/>
                </w:rPr>
                <w:t>Significant Developments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sultsofOperations_357823">
              <w:r>
                <w:rPr>
                  <w:rStyle w:val="InternetLink"/>
                  <w:rFonts w:ascii="Times New Roman;Times;serif" w:hAnsi="Times New Roman;Times;serif"/>
                  <w:b w:val="false"/>
                  <w:i w:val="false"/>
                  <w:caps w:val="false"/>
                  <w:smallCaps w:val="false"/>
                  <w:sz w:val="20"/>
                </w:rPr>
                <w:t>Results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Estimates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KeyBusinessMetrics_637621">
              <w:r>
                <w:rPr>
                  <w:rStyle w:val="InternetLink"/>
                  <w:rFonts w:ascii="Times New Roman;Times;serif" w:hAnsi="Times New Roman;Times;serif"/>
                  <w:b w:val="false"/>
                  <w:i w:val="false"/>
                  <w:caps w:val="false"/>
                  <w:smallCaps w:val="false"/>
                  <w:sz w:val="20"/>
                </w:rPr>
                <w:t>Key Business Metrics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 xml:space="preserve">45 </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LiquidityandCapitalResources_895697">
              <w:r>
                <w:rPr>
                  <w:rStyle w:val="InternetLink"/>
                  <w:rFonts w:ascii="Times New Roman;Times;serif" w:hAnsi="Times New Roman;Times;serif"/>
                  <w:b w:val="false"/>
                  <w:i w:val="false"/>
                  <w:caps w:val="false"/>
                  <w:smallCaps w:val="false"/>
                  <w:sz w:val="20"/>
                </w:rPr>
                <w:t>Liquidity and Capital Resources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centAccountingPronouncements_271628">
              <w:r>
                <w:rPr>
                  <w:rStyle w:val="InternetLink"/>
                  <w:rFonts w:ascii="Times New Roman;Times;serif" w:hAnsi="Times New Roman;Times;serif"/>
                  <w:b w:val="false"/>
                  <w:i w:val="false"/>
                  <w:caps w:val="false"/>
                  <w:smallCaps w:val="false"/>
                  <w:sz w:val="20"/>
                </w:rPr>
                <w:t>Recent Accounting Pronouncements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Controls and Procedures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Other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Legal Proceedings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Risk Factors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Defaults Upon Senior Securities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Mine Safety Disclosures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Other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Exhibits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77" w:type="dxa"/>
            <w:gridSpan w:val="2"/>
            <w:tcBorders/>
            <w:vAlign w:val="center"/>
          </w:tcPr>
          <w:p>
            <w:pPr>
              <w:pStyle w:val="TableContents"/>
              <w:pBdr/>
              <w:bidi w:val="0"/>
              <w:spacing w:lineRule="atLeast" w:line="220" w:before="0" w:after="0"/>
              <w:ind w:left="0" w:right="0" w:hanging="0"/>
              <w:jc w:val="left"/>
              <w:rPr/>
            </w:pPr>
            <w:hyperlink w:anchor="Signatures_760028">
              <w:r>
                <w:rPr>
                  <w:rStyle w:val="InternetLink"/>
                  <w:rFonts w:ascii="Times New Roman;Times;serif" w:hAnsi="Times New Roman;Times;serif"/>
                  <w:b w:val="false"/>
                  <w:i w:val="false"/>
                  <w:caps w:val="false"/>
                  <w:smallCaps w:val="false"/>
                  <w:sz w:val="20"/>
                </w:rPr>
                <w:t>Signatures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2" w:name="PartIFinancial_155967"/>
      <w:bookmarkStart w:id="43" w:name="_d7341b16_3470_4207_abbe_21ded7b2bf12"/>
      <w:bookmarkEnd w:id="42"/>
      <w:bookmarkEnd w:id="43"/>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44" w:name="Item1FinancialStatements_846547"/>
      <w:bookmarkEnd w:id="44"/>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45" w:name="BalanceSheets"/>
      <w:bookmarkEnd w:id="45"/>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6" w:name="Tc_KBxRcS9G4EGgwVjK7g3FdA_46_5"/>
      <w:bookmarkStart w:id="47" w:name="Tc_WwgHLZYOjkaSeDQy9istug_46_2"/>
      <w:bookmarkStart w:id="48" w:name="Tc_maP3AqcFak-IkJT3SaCHIg_46_0"/>
      <w:bookmarkStart w:id="49" w:name="Tc_VyK9HV7MmE6C_MGKVGgkbw_44_0"/>
      <w:bookmarkStart w:id="50" w:name="Tc_ilMdaRHi10SJzM3gP1r4gw_43_0"/>
      <w:bookmarkStart w:id="51" w:name="Tc_BLlHZMtDAkWk5JOwVCCH-Q_42_0"/>
      <w:bookmarkStart w:id="52" w:name="Tc_5vBdbLDOZE2qVS6xr0QkOA_41_0"/>
      <w:bookmarkStart w:id="53" w:name="Tc_pkyt3loBSUGMTiZ0Djl7AA_40_0"/>
      <w:bookmarkStart w:id="54" w:name="_36d0b019_6263_48da_9da3_1c627889e08f_3"/>
      <w:bookmarkStart w:id="55" w:name="_36d0b019_6263_48da_9da3_1c627889e08f_2"/>
      <w:bookmarkStart w:id="56" w:name="_36d0b019_6263_48da_9da3_1c627889e08f"/>
      <w:bookmarkStart w:id="57" w:name="Tc_Hd15cKhUs02w3Y0bJaSaOg_39_0"/>
      <w:bookmarkStart w:id="58" w:name="Tc_3edE08GiyUGp8jtGULtrwg_38_0"/>
      <w:bookmarkStart w:id="59" w:name="Tc_U--2PirvpEKgTYLvBH-asg_36_0"/>
      <w:bookmarkStart w:id="60" w:name="Tc_9cwT5cxWHE2d46RnWbPO3Q_34_0"/>
      <w:bookmarkStart w:id="61" w:name="Tc_G19DAaUBPUGQrtdCH-a41A_32_0"/>
      <w:bookmarkStart w:id="62" w:name="Tc_bius6FXO70iOPKH-uS8Elw_31_0"/>
      <w:bookmarkStart w:id="63" w:name="Tc_Y44I5IS5aEacI4IvBKP8Bg_30_0"/>
      <w:bookmarkStart w:id="64" w:name="Tc_uL8wcWc040KJ49_cQu6wvQ_29_0"/>
      <w:bookmarkStart w:id="65" w:name="Tc_7h7EbxTS0EK2EVXJMSQNmg_28_0"/>
      <w:bookmarkStart w:id="66" w:name="Tc_Aimdxycn1UGeqOjDfTIYpw_27_0"/>
      <w:bookmarkStart w:id="67" w:name="Tc_7u3HU7cdGUCx21NGSwBR2g_25_0"/>
      <w:bookmarkStart w:id="68" w:name="Tc_Z656bUAdz02_mNk7dmK3Bw_24_0"/>
      <w:bookmarkStart w:id="69" w:name="Tc_qA2C6nODS0i894LXWDu-JQ_23_0"/>
      <w:bookmarkStart w:id="70" w:name="Tc_6lEdcSy1L0K6gNSA2XY58w_22_0"/>
      <w:bookmarkStart w:id="71" w:name="Tc_VLcdw4piQUGRWJ8nuvOChg_21_0"/>
      <w:bookmarkStart w:id="72" w:name="Tc_Pu7xx7u6HkCJYyZCGaccrQ_20_0"/>
      <w:bookmarkStart w:id="73" w:name="Tc_UM7nMOtavkCJMOfrSAGiAQ_19_5"/>
      <w:bookmarkStart w:id="74" w:name="Tc_-l8tZGqCqE69EHVW1mpwJA_19_2"/>
      <w:bookmarkStart w:id="75" w:name="Tc_ES06wSzm-USXnrBr9-3A7A_19_0"/>
      <w:bookmarkStart w:id="76" w:name="Tc_QRz6MLMWQU-8_v0ZdWlIsA_18_0"/>
      <w:bookmarkStart w:id="77" w:name="Tc_H6X96T6Z7k-Cz7-2T3h1mw_16_5"/>
      <w:bookmarkStart w:id="78" w:name="Tc_0z317vQOFEOuhnuWPC8_Gg_16_2"/>
      <w:bookmarkStart w:id="79" w:name="Tc_y21ZUq0pyUKxShlgUeJ5kg_16_0"/>
      <w:bookmarkStart w:id="80" w:name="Tc_NFgZh2QuK0edDfKMxaK9jw_15_0"/>
      <w:bookmarkStart w:id="81" w:name="Tc__irmsmUjaEKOgdN5loI44w_14_0"/>
      <w:bookmarkStart w:id="82" w:name="Tc_yr9c35V_CkaWScU4lekZrA_13_0"/>
      <w:bookmarkStart w:id="83" w:name="Tc_8_RBkYKf5kGnqf_j2TW6wA_12_0"/>
      <w:bookmarkStart w:id="84" w:name="Tc_pEpxRj8Auk6hheKwByi8Eg_11_0"/>
      <w:bookmarkStart w:id="85" w:name="Tc_qryzpG6ALUyE16-y1IwWWQ_9_0"/>
      <w:bookmarkStart w:id="86" w:name="Tc_hZvfsoX5T0OobY31zrP6kw_8_0"/>
      <w:bookmarkStart w:id="87" w:name="Tc_HWISHDf32UOC4Cd7SuALjA_7_0"/>
      <w:bookmarkStart w:id="88" w:name="Tc_Zc1cXM2UfkSYv9ir6ay5Eg_6_0"/>
      <w:bookmarkStart w:id="89" w:name="Tc_K_AU1_1cvEyAorYfk8mECA_5_0"/>
      <w:bookmarkStart w:id="90" w:name="Tc_l2czdUnJ3UGie8DB4chmlg_4_0"/>
      <w:bookmarkStart w:id="91" w:name="Tc_uYMrFiuWZEap71IMww5xqw_3_5"/>
      <w:bookmarkStart w:id="92" w:name="Tc_QUhs2r5Hm0a0-mt8KkRvWw_3_2"/>
      <w:bookmarkStart w:id="93" w:name="Tc_q6AQ64cj00ihIhsvQCvzQw_3_0"/>
      <w:bookmarkStart w:id="94" w:name="Tc_k6UljwL2A0ytQPvvoccUqA_2_0"/>
      <w:bookmarkStart w:id="95" w:name="Tc_NO0nX6tE8Uyzo6g6z-48iQ_1_5"/>
      <w:bookmarkStart w:id="96" w:name="Tc_lQhyNApsU0Gn4s5m8zTEtQ_1_2"/>
      <w:bookmarkStart w:id="97" w:name="Tc_dFY4g_tAWU-dDjcsbCV9vw_1_0"/>
      <w:bookmarkStart w:id="98" w:name="_b30f15d2_4638_4eff_9b9a_44dca1abdf23"/>
      <w:bookmarkStart w:id="99" w:name="Tc_KBxRcS9G4EGgwVjK7g3FdA_46_5"/>
      <w:bookmarkStart w:id="100" w:name="Tc_WwgHLZYOjkaSeDQy9istug_46_2"/>
      <w:bookmarkStart w:id="101" w:name="Tc_maP3AqcFak-IkJT3SaCHIg_46_0"/>
      <w:bookmarkStart w:id="102" w:name="Tc_VyK9HV7MmE6C_MGKVGgkbw_44_0"/>
      <w:bookmarkStart w:id="103" w:name="Tc_ilMdaRHi10SJzM3gP1r4gw_43_0"/>
      <w:bookmarkStart w:id="104" w:name="Tc_BLlHZMtDAkWk5JOwVCCH-Q_42_0"/>
      <w:bookmarkStart w:id="105" w:name="Tc_5vBdbLDOZE2qVS6xr0QkOA_41_0"/>
      <w:bookmarkStart w:id="106" w:name="Tc_pkyt3loBSUGMTiZ0Djl7AA_40_0"/>
      <w:bookmarkStart w:id="107" w:name="_36d0b019_6263_48da_9da3_1c627889e08f_3"/>
      <w:bookmarkStart w:id="108" w:name="_36d0b019_6263_48da_9da3_1c627889e08f_2"/>
      <w:bookmarkStart w:id="109" w:name="_36d0b019_6263_48da_9da3_1c627889e08f"/>
      <w:bookmarkStart w:id="110" w:name="Tc_Hd15cKhUs02w3Y0bJaSaOg_39_0"/>
      <w:bookmarkStart w:id="111" w:name="Tc_3edE08GiyUGp8jtGULtrwg_38_0"/>
      <w:bookmarkStart w:id="112" w:name="Tc_U--2PirvpEKgTYLvBH-asg_36_0"/>
      <w:bookmarkStart w:id="113" w:name="Tc_9cwT5cxWHE2d46RnWbPO3Q_34_0"/>
      <w:bookmarkStart w:id="114" w:name="Tc_G19DAaUBPUGQrtdCH-a41A_32_0"/>
      <w:bookmarkStart w:id="115" w:name="Tc_bius6FXO70iOPKH-uS8Elw_31_0"/>
      <w:bookmarkStart w:id="116" w:name="Tc_Y44I5IS5aEacI4IvBKP8Bg_30_0"/>
      <w:bookmarkStart w:id="117" w:name="Tc_uL8wcWc040KJ49_cQu6wvQ_29_0"/>
      <w:bookmarkStart w:id="118" w:name="Tc_7h7EbxTS0EK2EVXJMSQNmg_28_0"/>
      <w:bookmarkStart w:id="119" w:name="Tc_Aimdxycn1UGeqOjDfTIYpw_27_0"/>
      <w:bookmarkStart w:id="120" w:name="Tc_7u3HU7cdGUCx21NGSwBR2g_25_0"/>
      <w:bookmarkStart w:id="121" w:name="Tc_Z656bUAdz02_mNk7dmK3Bw_24_0"/>
      <w:bookmarkStart w:id="122" w:name="Tc_qA2C6nODS0i894LXWDu-JQ_23_0"/>
      <w:bookmarkStart w:id="123" w:name="Tc_6lEdcSy1L0K6gNSA2XY58w_22_0"/>
      <w:bookmarkStart w:id="124" w:name="Tc_VLcdw4piQUGRWJ8nuvOChg_21_0"/>
      <w:bookmarkStart w:id="125" w:name="Tc_Pu7xx7u6HkCJYyZCGaccrQ_20_0"/>
      <w:bookmarkStart w:id="126" w:name="Tc_UM7nMOtavkCJMOfrSAGiAQ_19_5"/>
      <w:bookmarkStart w:id="127" w:name="Tc_-l8tZGqCqE69EHVW1mpwJA_19_2"/>
      <w:bookmarkStart w:id="128" w:name="Tc_ES06wSzm-USXnrBr9-3A7A_19_0"/>
      <w:bookmarkStart w:id="129" w:name="Tc_QRz6MLMWQU-8_v0ZdWlIsA_18_0"/>
      <w:bookmarkStart w:id="130" w:name="Tc_H6X96T6Z7k-Cz7-2T3h1mw_16_5"/>
      <w:bookmarkStart w:id="131" w:name="Tc_0z317vQOFEOuhnuWPC8_Gg_16_2"/>
      <w:bookmarkStart w:id="132" w:name="Tc_y21ZUq0pyUKxShlgUeJ5kg_16_0"/>
      <w:bookmarkStart w:id="133" w:name="Tc_NFgZh2QuK0edDfKMxaK9jw_15_0"/>
      <w:bookmarkStart w:id="134" w:name="Tc__irmsmUjaEKOgdN5loI44w_14_0"/>
      <w:bookmarkStart w:id="135" w:name="Tc_yr9c35V_CkaWScU4lekZrA_13_0"/>
      <w:bookmarkStart w:id="136" w:name="Tc_8_RBkYKf5kGnqf_j2TW6wA_12_0"/>
      <w:bookmarkStart w:id="137" w:name="Tc_pEpxRj8Auk6hheKwByi8Eg_11_0"/>
      <w:bookmarkStart w:id="138" w:name="Tc_qryzpG6ALUyE16-y1IwWWQ_9_0"/>
      <w:bookmarkStart w:id="139" w:name="Tc_hZvfsoX5T0OobY31zrP6kw_8_0"/>
      <w:bookmarkStart w:id="140" w:name="Tc_HWISHDf32UOC4Cd7SuALjA_7_0"/>
      <w:bookmarkStart w:id="141" w:name="Tc_Zc1cXM2UfkSYv9ir6ay5Eg_6_0"/>
      <w:bookmarkStart w:id="142" w:name="Tc_K_AU1_1cvEyAorYfk8mECA_5_0"/>
      <w:bookmarkStart w:id="143" w:name="Tc_l2czdUnJ3UGie8DB4chmlg_4_0"/>
      <w:bookmarkStart w:id="144" w:name="Tc_uYMrFiuWZEap71IMww5xqw_3_5"/>
      <w:bookmarkStart w:id="145" w:name="Tc_QUhs2r5Hm0a0-mt8KkRvWw_3_2"/>
      <w:bookmarkStart w:id="146" w:name="Tc_q6AQ64cj00ihIhsvQCvzQw_3_0"/>
      <w:bookmarkStart w:id="147" w:name="Tc_k6UljwL2A0ytQPvvoccUqA_2_0"/>
      <w:bookmarkStart w:id="148" w:name="Tc_NO0nX6tE8Uyzo6g6z-48iQ_1_5"/>
      <w:bookmarkStart w:id="149" w:name="Tc_lQhyNApsU0Gn4s5m8zTEtQ_1_2"/>
      <w:bookmarkStart w:id="150" w:name="Tc_dFY4g_tAWU-dDjcsbCV9vw_1_0"/>
      <w:bookmarkStart w:id="151" w:name="_b30f15d2_4638_4eff_9b9a_44dca1abdf23"/>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7156"/>
        <w:gridCol w:w="346"/>
        <w:gridCol w:w="201"/>
        <w:gridCol w:w="805"/>
        <w:gridCol w:w="346"/>
        <w:gridCol w:w="246"/>
        <w:gridCol w:w="1105"/>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544060" cy="175260"/>
                      <wp:effectExtent l="0" t="0" r="0" b="0"/>
                      <wp:wrapNone/>
                      <wp:docPr id="5" name="Frame4"/>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7635" cy="175260"/>
                      <wp:effectExtent l="0" t="0" r="0" b="0"/>
                      <wp:wrapNone/>
                      <wp:docPr id="7" name="Frame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1175" cy="175260"/>
                      <wp:effectExtent l="0" t="0" r="0" b="0"/>
                      <wp:wrapNone/>
                      <wp:docPr id="8" name="Frame7"/>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6210" cy="175260"/>
                      <wp:effectExtent l="0" t="0" r="0" b="0"/>
                      <wp:wrapNone/>
                      <wp:docPr id="10" name="Frame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01675" cy="175260"/>
                      <wp:effectExtent l="0" t="0" r="0" b="0"/>
                      <wp:wrapNone/>
                      <wp:docPr id="11" name="Frame1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346" w:type="dxa"/>
            <w:tcBorders/>
            <w:vAlign w:val="center"/>
          </w:tcPr>
          <w:p>
            <w:pPr>
              <w:pStyle w:val="TableContents"/>
              <w:bidi w:val="0"/>
              <w:spacing w:before="0" w:after="1"/>
              <w:ind w:left="0" w:right="0" w:hanging="0"/>
              <w:jc w:val="left"/>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38,233</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49,875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10,142</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21,164</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$3,217</w:t>
            </w:r>
            <w:r>
              <w:rPr>
                <w:rFonts w:ascii="Times New Roman;Times;serif" w:hAnsi="Times New Roman;Times;serif"/>
                <w:sz w:val="14"/>
              </w:rPr>
              <w:t xml:space="preserve"> </w:t>
            </w:r>
            <w:r>
              <w:rPr>
                <w:rFonts w:ascii="Times New Roman;Times;serif" w:hAnsi="Times New Roman;Times;serif"/>
                <w:sz w:val="15"/>
              </w:rPr>
              <w:t>and $2,750, respectively</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76,699</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94,099</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167,522</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199,802</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24,446</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15,049</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13,275</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16,370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330,317</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396,359</w:t>
            </w:r>
          </w:p>
        </w:tc>
      </w:tr>
      <w:tr>
        <w:trPr/>
        <w:tc>
          <w:tcPr>
            <w:tcW w:w="7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459,232</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483,606</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103,268</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107,141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61,438</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60,310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15,482</w:t>
            </w:r>
          </w:p>
        </w:tc>
        <w:tc>
          <w:tcPr>
            <w:tcW w:w="34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12,451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1,085,848</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1,175,978</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22,594</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19,281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55,810</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82,640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68,185</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91,175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97,532</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96,594</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7,440</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28,600</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90,192</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95,340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341,753</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413,630</w:t>
            </w:r>
          </w:p>
        </w:tc>
      </w:tr>
      <w:tr>
        <w:trPr/>
        <w:tc>
          <w:tcPr>
            <w:tcW w:w="7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365,466</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356,788</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Convertible notes payable - related party, net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64,839</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64,754</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11,492</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10,160</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59,375</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58,146</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866</w:t>
            </w:r>
          </w:p>
        </w:tc>
        <w:tc>
          <w:tcPr>
            <w:tcW w:w="34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843,791</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904,343</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18)</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Series A Convertible Preferred Shares, $0.01</w:t>
            </w:r>
            <w:r>
              <w:rPr>
                <w:rFonts w:ascii="Times New Roman;Times;serif" w:hAnsi="Times New Roman;Times;serif"/>
                <w:sz w:val="20"/>
              </w:rPr>
              <w:t xml:space="preserve"> </w:t>
            </w:r>
            <w:r>
              <w:rPr>
                <w:rFonts w:ascii="Times New Roman;Times;serif" w:hAnsi="Times New Roman;Times;serif"/>
                <w:sz w:val="15"/>
              </w:rPr>
              <w:t>par value, 24,000</w:t>
            </w:r>
            <w:r>
              <w:rPr>
                <w:rFonts w:ascii="Times New Roman;Times;serif" w:hAnsi="Times New Roman;Times;serif"/>
                <w:sz w:val="20"/>
              </w:rPr>
              <w:t xml:space="preserve"> </w:t>
            </w:r>
            <w:r>
              <w:rPr>
                <w:rFonts w:ascii="Times New Roman;Times;serif" w:hAnsi="Times New Roman;Times;serif"/>
                <w:sz w:val="15"/>
              </w:rPr>
              <w:t>shares authorized, 23,511</w:t>
            </w:r>
            <w:r>
              <w:rPr>
                <w:rFonts w:ascii="Times New Roman;Times;serif" w:hAnsi="Times New Roman;Times;serif"/>
                <w:sz w:val="20"/>
              </w:rPr>
              <w:t xml:space="preserve"> </w:t>
            </w:r>
            <w:r>
              <w:rPr>
                <w:rFonts w:ascii="Times New Roman;Times;serif" w:hAnsi="Times New Roman;Times;serif"/>
                <w:sz w:val="15"/>
              </w:rPr>
              <w:t>shares and 23,511</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June 30, 2026 and December 31, 2025, respectively, $11.50</w:t>
            </w:r>
            <w:r>
              <w:rPr>
                <w:rFonts w:ascii="Times New Roman;Times;serif" w:hAnsi="Times New Roman;Times;serif"/>
                <w:sz w:val="20"/>
              </w:rPr>
              <w:t xml:space="preserve"> </w:t>
            </w:r>
            <w:r>
              <w:rPr>
                <w:rFonts w:ascii="Times New Roman;Times;serif" w:hAnsi="Times New Roman;Times;serif"/>
                <w:sz w:val="15"/>
              </w:rPr>
              <w:t xml:space="preserve">liquidation value </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273,330</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273,503</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5"/>
              </w:rPr>
            </w:pPr>
            <w:r>
              <w:rPr>
                <w:rFonts w:ascii="Times New Roman;Times;serif" w:hAnsi="Times New Roman;Times;serif"/>
                <w:b/>
                <w:i/>
                <w:sz w:val="15"/>
              </w:rPr>
              <w:t>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Preferred stock, $0.01</w:t>
            </w:r>
            <w:r>
              <w:rPr>
                <w:rFonts w:ascii="Times New Roman;Times;serif" w:hAnsi="Times New Roman;Times;serif"/>
                <w:sz w:val="14"/>
              </w:rPr>
              <w:t xml:space="preserve"> </w:t>
            </w:r>
            <w:r>
              <w:rPr>
                <w:rFonts w:ascii="Times New Roman;Times;serif" w:hAnsi="Times New Roman;Times;serif"/>
                <w:sz w:val="15"/>
              </w:rPr>
              <w:t>par value, 26,000</w:t>
            </w:r>
            <w:r>
              <w:rPr>
                <w:rFonts w:ascii="Times New Roman;Times;serif" w:hAnsi="Times New Roman;Times;serif"/>
                <w:sz w:val="14"/>
              </w:rPr>
              <w:t xml:space="preserve"> </w:t>
            </w:r>
            <w:r>
              <w:rPr>
                <w:rFonts w:ascii="Times New Roman;Times;serif" w:hAnsi="Times New Roman;Times;serif"/>
                <w:sz w:val="15"/>
              </w:rPr>
              <w:t>shares authorized, no</w:t>
            </w:r>
            <w:r>
              <w:rPr>
                <w:rFonts w:ascii="Times New Roman;Times;serif" w:hAnsi="Times New Roman;Times;serif"/>
                <w:sz w:val="14"/>
              </w:rPr>
              <w:t xml:space="preserve"> </w:t>
            </w:r>
            <w:r>
              <w:rPr>
                <w:rFonts w:ascii="Times New Roman;Times;serif" w:hAnsi="Times New Roman;Times;serif"/>
                <w:sz w:val="15"/>
              </w:rPr>
              <w:t>shares issued and outstanding</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Common stock, $0.01</w:t>
            </w:r>
            <w:r>
              <w:rPr>
                <w:rFonts w:ascii="Times New Roman;Times;serif" w:hAnsi="Times New Roman;Times;serif"/>
                <w:sz w:val="20"/>
              </w:rPr>
              <w:t xml:space="preserve"> </w:t>
            </w:r>
            <w:r>
              <w:rPr>
                <w:rFonts w:ascii="Times New Roman;Times;serif" w:hAnsi="Times New Roman;Times;serif"/>
                <w:sz w:val="15"/>
              </w:rPr>
              <w:t>par value, 300,000</w:t>
            </w:r>
            <w:r>
              <w:rPr>
                <w:rFonts w:ascii="Times New Roman;Times;serif" w:hAnsi="Times New Roman;Times;serif"/>
                <w:sz w:val="20"/>
              </w:rPr>
              <w:t xml:space="preserve"> </w:t>
            </w:r>
            <w:r>
              <w:rPr>
                <w:rFonts w:ascii="Times New Roman;Times;serif" w:hAnsi="Times New Roman;Times;serif"/>
                <w:sz w:val="15"/>
              </w:rPr>
              <w:t>shares authorized, 97,627</w:t>
            </w:r>
            <w:r>
              <w:rPr>
                <w:rFonts w:ascii="Times New Roman;Times;serif" w:hAnsi="Times New Roman;Times;serif"/>
                <w:sz w:val="20"/>
              </w:rPr>
              <w:t xml:space="preserve"> </w:t>
            </w:r>
            <w:r>
              <w:rPr>
                <w:rFonts w:ascii="Times New Roman;Times;serif" w:hAnsi="Times New Roman;Times;serif"/>
                <w:sz w:val="15"/>
              </w:rPr>
              <w:t>shares and 96,866</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976</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969</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547,073</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544,567</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(556,560)</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(534,370)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(22,762)</w:t>
            </w:r>
          </w:p>
        </w:tc>
        <w:tc>
          <w:tcPr>
            <w:tcW w:w="34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(13,034)</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(31,273)</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(1,868)</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1,085,848</w:t>
            </w:r>
          </w:p>
        </w:tc>
        <w:tc>
          <w:tcPr>
            <w:tcW w:w="346"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1,175,978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995b69a4_8863_41e7_82b7_afe00135fe39"/>
      <w:bookmarkEnd w:id="152"/>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153" w:name="CONSOLIDATEDSTATEMENTOFOPERATIONS_105916"/>
      <w:bookmarkEnd w:id="153"/>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4" w:name="Tc_LE4404_Kt0WyukUaEcOKwQ_29_0"/>
      <w:bookmarkStart w:id="155" w:name="Tc_1T7cmEteC0uyQrbhROgw8Q_28_0"/>
      <w:bookmarkStart w:id="156" w:name="Tc_uWzsaiaHr06VF5pTFBAqlA_27_0"/>
      <w:bookmarkStart w:id="157" w:name="Tc_Ns6yMY2mv0OJ1Ke5HTTKzA_25_11"/>
      <w:bookmarkStart w:id="158" w:name="Tc_820vVkZLYUOYo1rlunnNaA_25_8"/>
      <w:bookmarkStart w:id="159" w:name="Tc_giSNiTs1GkmVbnElwIDTHQ_25_5"/>
      <w:bookmarkStart w:id="160" w:name="Tc_uzfV_prSW0-vZwnSRlfEUQ_25_2"/>
      <w:bookmarkStart w:id="161" w:name="Tc_Sg7TmZNWPEW2AC29JmgokQ_25_0"/>
      <w:bookmarkStart w:id="162" w:name="Tc_XnwaUrLde0eQAVXc7LrY6Q_24_11"/>
      <w:bookmarkStart w:id="163" w:name="Tc_7HnTXlvYUEm3lyfwozomkw_24_8"/>
      <w:bookmarkStart w:id="164" w:name="Tc_MoTO9g-rzUOGqtRdhfNjSQ_24_5"/>
      <w:bookmarkStart w:id="165" w:name="Tc_cDV83otjS0SQwslSHy-QsQ_24_2"/>
      <w:bookmarkStart w:id="166" w:name="Tc_E0qRVqTd10-VBw-wFdnVLw_24_0"/>
      <w:bookmarkStart w:id="167" w:name="Tc_Rm6n7jTMikykwhF0XSQ7Ew_23_0"/>
      <w:bookmarkStart w:id="168" w:name="Tc_MqZyF7UO1UauelD5PnFt1Q_21_11"/>
      <w:bookmarkStart w:id="169" w:name="Tc_P6jtXwBDe0CDMGnRWDk1vw_21_8"/>
      <w:bookmarkStart w:id="170" w:name="Tc_DJ-xggJ9SEe8y-hCeKiH1g_21_5"/>
      <w:bookmarkStart w:id="171" w:name="Tc_EkXwqten_0yGF6fCZK6sdw_21_2"/>
      <w:bookmarkStart w:id="172" w:name="Tc_qJ819l5aa06YKtIlJBD3ZA_21_0"/>
      <w:bookmarkStart w:id="173" w:name="Tc_z3oH6hDM50qX9jJ3ROVNsA_20_0"/>
      <w:bookmarkStart w:id="174" w:name="Tc_M2UtSb7O3E-X6cyNXsq9Cw_19_11"/>
      <w:bookmarkStart w:id="175" w:name="Tc_Pp5Fb5EpQ0exjmgA40qQcA_19_8"/>
      <w:bookmarkStart w:id="176" w:name="Tc_X5gH8Ez4oUW38cgpTFAQNg_19_5"/>
      <w:bookmarkStart w:id="177" w:name="Tc_d0zZJhfUWk25YkLNwju-_Q_19_2"/>
      <w:bookmarkStart w:id="178" w:name="Tc_R7axdjhqTEuh3Fg9s7VbuA_19_0"/>
      <w:bookmarkStart w:id="179" w:name="Tc_iGM5J4faZkqTJSzI-Ho80w_18_0"/>
      <w:bookmarkStart w:id="180" w:name="Tc_K9LRlEkxjkel-axvI7UeYQ_17_0"/>
      <w:bookmarkStart w:id="181" w:name="Tc_DizDHfM10UWjqpL8Cukkcw_16_0"/>
      <w:bookmarkStart w:id="182" w:name="Tc_OLvbnEHtgEC_v9nBrMsmPA_15_0"/>
      <w:bookmarkStart w:id="183" w:name="Tc_mJdrNgRYjkyq8ltoVO0miA_14_0"/>
      <w:bookmarkStart w:id="184" w:name="Tc_zb5vHeEXq0mWqW_qgNVsNA_13_0"/>
      <w:bookmarkStart w:id="185" w:name="Tc_l92keUxt4Eu0oWz8QBX5zQ_11_0"/>
      <w:bookmarkStart w:id="186" w:name="Tc_HWYrifP3J0K8pgi0zWhAHg_10_0"/>
      <w:bookmarkStart w:id="187" w:name="Tc_IA8_2EnSZEijQ3nAME2oEQ_9_6"/>
      <w:bookmarkStart w:id="188" w:name="Tc_MXs9Hnx1RUiPhBSLdzXijw_9_0"/>
      <w:bookmarkStart w:id="189" w:name="Tc_7kSB2RPWykmkxZ77qn9unw_8_0"/>
      <w:bookmarkStart w:id="190" w:name="Tc_F8n396CNK0-Eo6VeR2pUyA_7_0"/>
      <w:bookmarkStart w:id="191" w:name="Tc_SjZeptTEKk-l2EVIBs_K3w_5_0"/>
      <w:bookmarkStart w:id="192" w:name="Tc_VlKNP5kmjEuv1KjPZROOvg_4_0"/>
      <w:bookmarkStart w:id="193" w:name="Tc_3NKwXOYHgEOWmmgGFnLLxQ_3_11"/>
      <w:bookmarkStart w:id="194" w:name="Tc_HNP6Yo8h1ESsgq1uP1D21g_3_8"/>
      <w:bookmarkStart w:id="195" w:name="Tc_ChfxWRiBxUGHn1cTFspW0w_3_5"/>
      <w:bookmarkStart w:id="196" w:name="Tc_HVwLV5JVc0O2hrUQBp5AzA_3_2"/>
      <w:bookmarkStart w:id="197" w:name="Tc_GRyNVAACgkiaO_53lgp8_w_3_0"/>
      <w:bookmarkStart w:id="198" w:name="Tc_BCZ8UE6YVUKiDnfawNn8oA_2_11"/>
      <w:bookmarkStart w:id="199" w:name="Tc_bxSyxNNzAkezv89VGoGFqQ_2_8"/>
      <w:bookmarkStart w:id="200" w:name="Tc_JB2fI5GRlE6Mdo_M1ugUhw_2_5"/>
      <w:bookmarkStart w:id="201" w:name="Tc_63zCjd3k6UawTV2iZVP2Ww_2_2"/>
      <w:bookmarkStart w:id="202" w:name="Tc_UdEHlKdhNEiCmAkvFzGytA_2_0"/>
      <w:bookmarkStart w:id="203" w:name="Tc_IHHMBBYCXUmTfLOJzj12JA_1_8"/>
      <w:bookmarkStart w:id="204" w:name="Tc_4fnikK0A1U2_v97NEw6VXQ_1_2"/>
      <w:bookmarkStart w:id="205" w:name="_2a6f20de_93ac_4df9_8ea6_3e15d663d50c"/>
      <w:bookmarkStart w:id="206" w:name="Tc_LE4404_Kt0WyukUaEcOKwQ_29_0"/>
      <w:bookmarkStart w:id="207" w:name="Tc_1T7cmEteC0uyQrbhROgw8Q_28_0"/>
      <w:bookmarkStart w:id="208" w:name="Tc_uWzsaiaHr06VF5pTFBAqlA_27_0"/>
      <w:bookmarkStart w:id="209" w:name="Tc_Ns6yMY2mv0OJ1Ke5HTTKzA_25_11"/>
      <w:bookmarkStart w:id="210" w:name="Tc_820vVkZLYUOYo1rlunnNaA_25_8"/>
      <w:bookmarkStart w:id="211" w:name="Tc_giSNiTs1GkmVbnElwIDTHQ_25_5"/>
      <w:bookmarkStart w:id="212" w:name="Tc_uzfV_prSW0-vZwnSRlfEUQ_25_2"/>
      <w:bookmarkStart w:id="213" w:name="Tc_Sg7TmZNWPEW2AC29JmgokQ_25_0"/>
      <w:bookmarkStart w:id="214" w:name="Tc_XnwaUrLde0eQAVXc7LrY6Q_24_11"/>
      <w:bookmarkStart w:id="215" w:name="Tc_7HnTXlvYUEm3lyfwozomkw_24_8"/>
      <w:bookmarkStart w:id="216" w:name="Tc_MoTO9g-rzUOGqtRdhfNjSQ_24_5"/>
      <w:bookmarkStart w:id="217" w:name="Tc_cDV83otjS0SQwslSHy-QsQ_24_2"/>
      <w:bookmarkStart w:id="218" w:name="Tc_E0qRVqTd10-VBw-wFdnVLw_24_0"/>
      <w:bookmarkStart w:id="219" w:name="Tc_Rm6n7jTMikykwhF0XSQ7Ew_23_0"/>
      <w:bookmarkStart w:id="220" w:name="Tc_MqZyF7UO1UauelD5PnFt1Q_21_11"/>
      <w:bookmarkStart w:id="221" w:name="Tc_P6jtXwBDe0CDMGnRWDk1vw_21_8"/>
      <w:bookmarkStart w:id="222" w:name="Tc_DJ-xggJ9SEe8y-hCeKiH1g_21_5"/>
      <w:bookmarkStart w:id="223" w:name="Tc_EkXwqten_0yGF6fCZK6sdw_21_2"/>
      <w:bookmarkStart w:id="224" w:name="Tc_qJ819l5aa06YKtIlJBD3ZA_21_0"/>
      <w:bookmarkStart w:id="225" w:name="Tc_z3oH6hDM50qX9jJ3ROVNsA_20_0"/>
      <w:bookmarkStart w:id="226" w:name="Tc_M2UtSb7O3E-X6cyNXsq9Cw_19_11"/>
      <w:bookmarkStart w:id="227" w:name="Tc_Pp5Fb5EpQ0exjmgA40qQcA_19_8"/>
      <w:bookmarkStart w:id="228" w:name="Tc_X5gH8Ez4oUW38cgpTFAQNg_19_5"/>
      <w:bookmarkStart w:id="229" w:name="Tc_d0zZJhfUWk25YkLNwju-_Q_19_2"/>
      <w:bookmarkStart w:id="230" w:name="Tc_R7axdjhqTEuh3Fg9s7VbuA_19_0"/>
      <w:bookmarkStart w:id="231" w:name="Tc_iGM5J4faZkqTJSzI-Ho80w_18_0"/>
      <w:bookmarkStart w:id="232" w:name="Tc_K9LRlEkxjkel-axvI7UeYQ_17_0"/>
      <w:bookmarkStart w:id="233" w:name="Tc_DizDHfM10UWjqpL8Cukkcw_16_0"/>
      <w:bookmarkStart w:id="234" w:name="Tc_OLvbnEHtgEC_v9nBrMsmPA_15_0"/>
      <w:bookmarkStart w:id="235" w:name="Tc_mJdrNgRYjkyq8ltoVO0miA_14_0"/>
      <w:bookmarkStart w:id="236" w:name="Tc_zb5vHeEXq0mWqW_qgNVsNA_13_0"/>
      <w:bookmarkStart w:id="237" w:name="Tc_l92keUxt4Eu0oWz8QBX5zQ_11_0"/>
      <w:bookmarkStart w:id="238" w:name="Tc_HWYrifP3J0K8pgi0zWhAHg_10_0"/>
      <w:bookmarkStart w:id="239" w:name="Tc_IA8_2EnSZEijQ3nAME2oEQ_9_6"/>
      <w:bookmarkStart w:id="240" w:name="Tc_MXs9Hnx1RUiPhBSLdzXijw_9_0"/>
      <w:bookmarkStart w:id="241" w:name="Tc_7kSB2RPWykmkxZ77qn9unw_8_0"/>
      <w:bookmarkStart w:id="242" w:name="Tc_F8n396CNK0-Eo6VeR2pUyA_7_0"/>
      <w:bookmarkStart w:id="243" w:name="Tc_SjZeptTEKk-l2EVIBs_K3w_5_0"/>
      <w:bookmarkStart w:id="244" w:name="Tc_VlKNP5kmjEuv1KjPZROOvg_4_0"/>
      <w:bookmarkStart w:id="245" w:name="Tc_3NKwXOYHgEOWmmgGFnLLxQ_3_11"/>
      <w:bookmarkStart w:id="246" w:name="Tc_HNP6Yo8h1ESsgq1uP1D21g_3_8"/>
      <w:bookmarkStart w:id="247" w:name="Tc_ChfxWRiBxUGHn1cTFspW0w_3_5"/>
      <w:bookmarkStart w:id="248" w:name="Tc_HVwLV5JVc0O2hrUQBp5AzA_3_2"/>
      <w:bookmarkStart w:id="249" w:name="Tc_GRyNVAACgkiaO_53lgp8_w_3_0"/>
      <w:bookmarkStart w:id="250" w:name="Tc_BCZ8UE6YVUKiDnfawNn8oA_2_11"/>
      <w:bookmarkStart w:id="251" w:name="Tc_bxSyxNNzAkezv89VGoGFqQ_2_8"/>
      <w:bookmarkStart w:id="252" w:name="Tc_JB2fI5GRlE6Mdo_M1ugUhw_2_5"/>
      <w:bookmarkStart w:id="253" w:name="Tc_63zCjd3k6UawTV2iZVP2Ww_2_2"/>
      <w:bookmarkStart w:id="254" w:name="Tc_UdEHlKdhNEiCmAkvFzGytA_2_0"/>
      <w:bookmarkStart w:id="255" w:name="Tc_IHHMBBYCXUmTfLOJzj12JA_1_8"/>
      <w:bookmarkStart w:id="256" w:name="Tc_4fnikK0A1U2_v97NEw6VXQ_1_2"/>
      <w:bookmarkStart w:id="257" w:name="_2a6f20de_93ac_4df9_8ea6_3e15d663d50c"/>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9975" w:type="dxa"/>
        <w:jc w:val="left"/>
        <w:tblInd w:w="0" w:type="dxa"/>
        <w:tblLayout w:type="fixed"/>
        <w:tblCellMar>
          <w:top w:w="0" w:type="dxa"/>
          <w:left w:w="0" w:type="dxa"/>
          <w:bottom w:w="0" w:type="dxa"/>
          <w:right w:w="0" w:type="dxa"/>
        </w:tblCellMar>
      </w:tblPr>
      <w:tblGrid>
        <w:gridCol w:w="5116"/>
        <w:gridCol w:w="346"/>
        <w:gridCol w:w="200"/>
        <w:gridCol w:w="681"/>
        <w:gridCol w:w="382"/>
        <w:gridCol w:w="200"/>
        <w:gridCol w:w="681"/>
        <w:gridCol w:w="346"/>
        <w:gridCol w:w="184"/>
        <w:gridCol w:w="628"/>
        <w:gridCol w:w="353"/>
        <w:gridCol w:w="184"/>
        <w:gridCol w:w="674"/>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48660" cy="175260"/>
                      <wp:effectExtent l="0" t="0" r="0" b="0"/>
                      <wp:wrapNone/>
                      <wp:docPr id="12" name="Frame11"/>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7000" cy="175260"/>
                      <wp:effectExtent l="0" t="0" r="0" b="0"/>
                      <wp:wrapNone/>
                      <wp:docPr id="14" name="Frame1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2435" cy="175260"/>
                      <wp:effectExtent l="0" t="0" r="0" b="0"/>
                      <wp:wrapNone/>
                      <wp:docPr id="15" name="Frame14"/>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2570" cy="175260"/>
                      <wp:effectExtent l="0" t="0" r="0" b="0"/>
                      <wp:wrapNone/>
                      <wp:docPr id="16" name="Frame1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7000" cy="175260"/>
                      <wp:effectExtent l="0" t="0" r="0" b="0"/>
                      <wp:wrapNone/>
                      <wp:docPr id="17" name="Frame1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2435" cy="175260"/>
                      <wp:effectExtent l="0" t="0" r="0" b="0"/>
                      <wp:wrapNone/>
                      <wp:docPr id="18" name="Frame17"/>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16840" cy="175260"/>
                      <wp:effectExtent l="0" t="0" r="0" b="0"/>
                      <wp:wrapNone/>
                      <wp:docPr id="20" name="Frame19"/>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98780" cy="175260"/>
                      <wp:effectExtent l="0" t="0" r="0" b="0"/>
                      <wp:wrapNone/>
                      <wp:docPr id="21" name="Frame20"/>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4155" cy="175260"/>
                      <wp:effectExtent l="0" t="0" r="0" b="0"/>
                      <wp:wrapNone/>
                      <wp:docPr id="22" name="Frame2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16840" cy="175260"/>
                      <wp:effectExtent l="0" t="0" r="0" b="0"/>
                      <wp:wrapNone/>
                      <wp:docPr id="23" name="Frame22"/>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7990" cy="175260"/>
                      <wp:effectExtent l="0" t="0" r="0" b="0"/>
                      <wp:wrapNone/>
                      <wp:docPr id="24" name="Frame2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0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1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46" w:type="dxa"/>
            <w:tcBorders/>
            <w:vAlign w:val="center"/>
          </w:tcPr>
          <w:p>
            <w:pPr>
              <w:pStyle w:val="TableContents"/>
              <w:bidi w:val="0"/>
              <w:spacing w:before="0" w:after="1"/>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82" w:type="dxa"/>
            <w:tcBorders/>
            <w:vAlign w:val="center"/>
          </w:tcPr>
          <w:p>
            <w:pPr>
              <w:pStyle w:val="TableContents"/>
              <w:bidi w:val="0"/>
              <w:spacing w:before="0" w:after="1"/>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53" w:type="dxa"/>
            <w:tcBorders/>
            <w:vAlign w:val="center"/>
          </w:tcPr>
          <w:p>
            <w:pPr>
              <w:pStyle w:val="TableContents"/>
              <w:bidi w:val="0"/>
              <w:spacing w:before="0" w:after="1"/>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305,658</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280,859</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614,483</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494,655</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267,910</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239,464</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530,967</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424,187</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37,748</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41,395</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83,516</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70,468</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35,973</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53,931</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73,819</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94,275</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Transaction, restructuring and integration expense</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3,168</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2,477</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6,836</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4,268</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(gain) on disposal of 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1,053</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39,098</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56,408</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81,708</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98,550</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(1,350)</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(15,013)</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1,808</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(28,082)</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12,990</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13,119</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26,517</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25,718</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(2,692)</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(606)</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(2,970)</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before income taxes and equity in earnings from unconsolidated entities</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(14,223)</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(25,440)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(24,103)</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(50,830)</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1,564</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1,458</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(3,507)</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(3,477)</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(3,507)</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(13,657)</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(21,563)</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(22,190)</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(48,781)</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(accretion) of Series A Convertible Preferred Shares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172</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 attributable to common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(13,570)</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(21,477)</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(22,017)</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(48,609)</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(0.14)</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(0.23)</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(0.23)</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(0.51)</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(0.14)</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(0.23)</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(0.23)</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(0.51)</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97,579</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94,661</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97,298</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94,480</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97,579</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94,661</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97,298</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94,480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8" w:name="_be1d9215_7522_4238_9a26_4c2b7a213d4b"/>
      <w:bookmarkEnd w:id="258"/>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259" w:name="CONSOLIDATEDSTATEMENTOFCOMPREHENSIVELOSS"/>
      <w:bookmarkEnd w:id="259"/>
      <w:r>
        <w:rPr>
          <w:rFonts w:ascii="Times New Roman;Times;serif" w:hAnsi="Times New Roman;Times;serif"/>
          <w:b/>
          <w:sz w:val="20"/>
        </w:rPr>
        <w:t>CONDENSED CONSOLIDATED STATEMENTS OF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60" w:name="Tc_XOz6Y5RG5UiGydvuaufn9Q_10_11"/>
      <w:bookmarkStart w:id="261" w:name="Tc_hvn01EgSF0-wzImWePpbMw_10_8"/>
      <w:bookmarkStart w:id="262" w:name="Tc_NVAtpEE0qUSP0IAJ9gw4vg_10_5"/>
      <w:bookmarkStart w:id="263" w:name="Tc_4f6bT9jL20-4BFaSOT24Hw_10_2"/>
      <w:bookmarkStart w:id="264" w:name="Tc_5qH2wx0qKk-C6YBLqEUCYw_10_0"/>
      <w:bookmarkStart w:id="265" w:name="Tc_YqozKhQWa06D8qYeKY7LHg_9_0"/>
      <w:bookmarkStart w:id="266" w:name="Tc_Fx2BNmnaHUyuqYJwmvKLDg_8_0"/>
      <w:bookmarkStart w:id="267" w:name="Tc_mGv1BYkpNUm4jYHbqN83yw_7_0"/>
      <w:bookmarkStart w:id="268" w:name="Tc_fIvrggQ4-UW0aq63s8I4Ew_6_0"/>
      <w:bookmarkStart w:id="269" w:name="Tc_s2rh7nTICE-HyN5oOngWcg_5_0"/>
      <w:bookmarkStart w:id="270" w:name="Tc_cFlObRBzTE2X_eioduXWwQ_4_0"/>
      <w:bookmarkStart w:id="271" w:name="Tc_rDGDCcKKdUKBSGqF2_v6xw_3_11"/>
      <w:bookmarkStart w:id="272" w:name="Tc_r6OwadFVFUKwh6_8g-W9SA_3_8"/>
      <w:bookmarkStart w:id="273" w:name="Tc_8F3EiwvEQ0m7l5bKd6uLeQ_3_5"/>
      <w:bookmarkStart w:id="274" w:name="Tc_EVA--9t-QEumRvUbXafPKQ_3_2"/>
      <w:bookmarkStart w:id="275" w:name="Tc_mJi8TPz1P0yS50oIpnvpKQ_3_0"/>
      <w:bookmarkStart w:id="276" w:name="Tc_dn3BMts2fUW4Z2NskEb3fw_2_11"/>
      <w:bookmarkStart w:id="277" w:name="Tc_6NsJA3Nb8kiq8yePJ5AQ2Q_2_8"/>
      <w:bookmarkStart w:id="278" w:name="Tc_rmjGlzNzC0u2Y4mjsQYSvw_2_5"/>
      <w:bookmarkStart w:id="279" w:name="Tc_tifVzKvCYkeSW8_3MUMz7A_2_2"/>
      <w:bookmarkStart w:id="280" w:name="Tc_P79syi9M_EWp05wqyJ_1mg_2_0"/>
      <w:bookmarkStart w:id="281" w:name="Tc_9HdZRIrjfUKRRoFJNz9RKA_1_8"/>
      <w:bookmarkStart w:id="282" w:name="Tc_3mj4JXvsLEq1LzoaDI4wmw_1_2"/>
      <w:bookmarkStart w:id="283" w:name="_a5559eab_a396_44c3_b941_ae08116807a9"/>
      <w:bookmarkStart w:id="284" w:name="Tc_XOz6Y5RG5UiGydvuaufn9Q_10_11"/>
      <w:bookmarkStart w:id="285" w:name="Tc_hvn01EgSF0-wzImWePpbMw_10_8"/>
      <w:bookmarkStart w:id="286" w:name="Tc_NVAtpEE0qUSP0IAJ9gw4vg_10_5"/>
      <w:bookmarkStart w:id="287" w:name="Tc_4f6bT9jL20-4BFaSOT24Hw_10_2"/>
      <w:bookmarkStart w:id="288" w:name="Tc_5qH2wx0qKk-C6YBLqEUCYw_10_0"/>
      <w:bookmarkStart w:id="289" w:name="Tc_YqozKhQWa06D8qYeKY7LHg_9_0"/>
      <w:bookmarkStart w:id="290" w:name="Tc_Fx2BNmnaHUyuqYJwmvKLDg_8_0"/>
      <w:bookmarkStart w:id="291" w:name="Tc_mGv1BYkpNUm4jYHbqN83yw_7_0"/>
      <w:bookmarkStart w:id="292" w:name="Tc_fIvrggQ4-UW0aq63s8I4Ew_6_0"/>
      <w:bookmarkStart w:id="293" w:name="Tc_s2rh7nTICE-HyN5oOngWcg_5_0"/>
      <w:bookmarkStart w:id="294" w:name="Tc_cFlObRBzTE2X_eioduXWwQ_4_0"/>
      <w:bookmarkStart w:id="295" w:name="Tc_rDGDCcKKdUKBSGqF2_v6xw_3_11"/>
      <w:bookmarkStart w:id="296" w:name="Tc_r6OwadFVFUKwh6_8g-W9SA_3_8"/>
      <w:bookmarkStart w:id="297" w:name="Tc_8F3EiwvEQ0m7l5bKd6uLeQ_3_5"/>
      <w:bookmarkStart w:id="298" w:name="Tc_EVA--9t-QEumRvUbXafPKQ_3_2"/>
      <w:bookmarkStart w:id="299" w:name="Tc_mJi8TPz1P0yS50oIpnvpKQ_3_0"/>
      <w:bookmarkStart w:id="300" w:name="Tc_dn3BMts2fUW4Z2NskEb3fw_2_11"/>
      <w:bookmarkStart w:id="301" w:name="Tc_6NsJA3Nb8kiq8yePJ5AQ2Q_2_8"/>
      <w:bookmarkStart w:id="302" w:name="Tc_rmjGlzNzC0u2Y4mjsQYSvw_2_5"/>
      <w:bookmarkStart w:id="303" w:name="Tc_tifVzKvCYkeSW8_3MUMz7A_2_2"/>
      <w:bookmarkStart w:id="304" w:name="Tc_P79syi9M_EWp05wqyJ_1mg_2_0"/>
      <w:bookmarkStart w:id="305" w:name="Tc_9HdZRIrjfUKRRoFJNz9RKA_1_8"/>
      <w:bookmarkStart w:id="306" w:name="Tc_3mj4JXvsLEq1LzoaDI4wmw_1_2"/>
      <w:bookmarkStart w:id="307" w:name="_a5559eab_a396_44c3_b941_ae08116807a9"/>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8685" w:type="dxa"/>
        <w:jc w:val="left"/>
        <w:tblInd w:w="0" w:type="dxa"/>
        <w:tblLayout w:type="fixed"/>
        <w:tblCellMar>
          <w:top w:w="0" w:type="dxa"/>
          <w:left w:w="0" w:type="dxa"/>
          <w:bottom w:w="0" w:type="dxa"/>
          <w:right w:w="0" w:type="dxa"/>
        </w:tblCellMar>
      </w:tblPr>
      <w:tblGrid>
        <w:gridCol w:w="3826"/>
        <w:gridCol w:w="346"/>
        <w:gridCol w:w="200"/>
        <w:gridCol w:w="681"/>
        <w:gridCol w:w="382"/>
        <w:gridCol w:w="200"/>
        <w:gridCol w:w="681"/>
        <w:gridCol w:w="346"/>
        <w:gridCol w:w="184"/>
        <w:gridCol w:w="628"/>
        <w:gridCol w:w="353"/>
        <w:gridCol w:w="184"/>
        <w:gridCol w:w="674"/>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29510" cy="175260"/>
                      <wp:effectExtent l="0" t="0" r="0" b="0"/>
                      <wp:wrapNone/>
                      <wp:docPr id="25" name="Frame2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7000" cy="175260"/>
                      <wp:effectExtent l="0" t="0" r="0" b="0"/>
                      <wp:wrapNone/>
                      <wp:docPr id="27" name="Frame2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2435" cy="175260"/>
                      <wp:effectExtent l="0" t="0" r="0" b="0"/>
                      <wp:wrapNone/>
                      <wp:docPr id="28" name="Frame27"/>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2570" cy="175260"/>
                      <wp:effectExtent l="0" t="0" r="0" b="0"/>
                      <wp:wrapNone/>
                      <wp:docPr id="29" name="Frame2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7000" cy="175260"/>
                      <wp:effectExtent l="0" t="0" r="0" b="0"/>
                      <wp:wrapNone/>
                      <wp:docPr id="30" name="Frame2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2435" cy="175260"/>
                      <wp:effectExtent l="0" t="0" r="0" b="0"/>
                      <wp:wrapNone/>
                      <wp:docPr id="31" name="Frame30"/>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6840" cy="175260"/>
                      <wp:effectExtent l="0" t="0" r="0" b="0"/>
                      <wp:wrapNone/>
                      <wp:docPr id="33" name="Frame32"/>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98780" cy="175260"/>
                      <wp:effectExtent l="0" t="0" r="0" b="0"/>
                      <wp:wrapNone/>
                      <wp:docPr id="34" name="Frame33"/>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4155" cy="175260"/>
                      <wp:effectExtent l="0" t="0" r="0" b="0"/>
                      <wp:wrapNone/>
                      <wp:docPr id="35" name="Frame3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6840" cy="175260"/>
                      <wp:effectExtent l="0" t="0" r="0" b="0"/>
                      <wp:wrapNone/>
                      <wp:docPr id="36" name="Frame35"/>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7990" cy="175260"/>
                      <wp:effectExtent l="0" t="0" r="0" b="0"/>
                      <wp:wrapNone/>
                      <wp:docPr id="37" name="Frame3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0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1"/>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82" w:type="dxa"/>
            <w:tcBorders/>
            <w:vAlign w:val="center"/>
          </w:tcPr>
          <w:p>
            <w:pPr>
              <w:pStyle w:val="TableContents"/>
              <w:bidi w:val="0"/>
              <w:spacing w:before="0" w:after="1"/>
              <w:ind w:left="0" w:right="0" w:hanging="0"/>
              <w:jc w:val="left"/>
              <w:rPr/>
            </w:pPr>
            <w:r>
              <w:rPr/>
              <w:t>  ​ ​ ​</w:t>
            </w:r>
          </w:p>
        </w:tc>
        <w:tc>
          <w:tcPr>
            <w:tcW w:w="8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53" w:type="dxa"/>
            <w:tcBorders/>
            <w:vAlign w:val="center"/>
          </w:tcPr>
          <w:p>
            <w:pPr>
              <w:pStyle w:val="TableContents"/>
              <w:bidi w:val="0"/>
              <w:spacing w:before="0" w:after="1"/>
              <w:ind w:left="0" w:right="0" w:hanging="0"/>
              <w:jc w:val="left"/>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(13,657)</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(21,563)</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(22,190)</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(48,781)</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i/>
                <w:sz w:val="15"/>
              </w:rPr>
            </w:pPr>
            <w:r>
              <w:rPr>
                <w:rFonts w:ascii="Times New Roman;Times;serif" w:hAnsi="Times New Roman;Times;serif"/>
                <w:i/>
                <w:sz w:val="15"/>
              </w:rPr>
              <w:t xml:space="preserve">Other comprehensive income (loss), net of tax: </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Unrealized gain (loss) on derivative instruments </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973</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(35,998)</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(9,749)</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(36,766)</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(423)</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(376)</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Total other comprehensive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978</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(36,421)</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(9,728)</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(37,142)</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(loss) income attributable to shareholders</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(12,679)</w:t>
            </w:r>
          </w:p>
        </w:tc>
        <w:tc>
          <w:tcPr>
            <w:tcW w:w="382"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(57,984)</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2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(31,918)</w:t>
            </w:r>
          </w:p>
        </w:tc>
        <w:tc>
          <w:tcPr>
            <w:tcW w:w="353"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(85,923)</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82"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w:t>
            </w:r>
          </w:p>
        </w:tc>
        <w:tc>
          <w:tcPr>
            <w:tcW w:w="353" w:type="dxa"/>
            <w:tcBorders/>
            <w:shd w:fill="CCEEFF" w:val="clear"/>
            <w:vAlign w:val="center"/>
          </w:tcPr>
          <w:p>
            <w:pPr>
              <w:pStyle w:val="TableContents"/>
              <w:bidi w:val="0"/>
              <w:spacing w:before="0" w:after="1"/>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172</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loss attributable to common shareholders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(12,592)</w:t>
            </w:r>
          </w:p>
        </w:tc>
        <w:tc>
          <w:tcPr>
            <w:tcW w:w="382"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(57,898)</w:t>
            </w:r>
          </w:p>
        </w:tc>
        <w:tc>
          <w:tcPr>
            <w:tcW w:w="346"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(31,745)</w:t>
            </w:r>
          </w:p>
        </w:tc>
        <w:tc>
          <w:tcPr>
            <w:tcW w:w="353" w:type="dxa"/>
            <w:tcBorders/>
            <w:vAlign w:val="center"/>
          </w:tcPr>
          <w:p>
            <w:pPr>
              <w:pStyle w:val="TableContents"/>
              <w:bidi w:val="0"/>
              <w:spacing w:before="0" w:after="1"/>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(85,751)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08" w:name="_f25cf242_4f69_49db_bb20_473c2e0f9bdf"/>
      <w:bookmarkEnd w:id="308"/>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309" w:name="CONSOLIDATEDSTATEMENTOFUNITHOLDERSDEFICI"/>
      <w:bookmarkEnd w:id="309"/>
      <w:r>
        <w:rPr>
          <w:rFonts w:ascii="Times New Roman;Times;serif" w:hAnsi="Times New Roman;Times;serif"/>
          <w:b/>
          <w:sz w:val="20"/>
        </w:rPr>
        <w:t>CONDENSED CONSOLIDATED STATEMENTS OF SHAREHOLDERS’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10" w:name="Tc_kE5I9xVOUE6GTFGVvrN5Tg_19_16"/>
      <w:bookmarkStart w:id="311" w:name="Tc_nRf8w4UMykuh-B1PwMPnRQ_19_13"/>
      <w:bookmarkStart w:id="312" w:name="Tc_jyB8wv2VDEerITleqVQvPg_19_10"/>
      <w:bookmarkStart w:id="313" w:name="Tc_yzbXovSl0k69krUMqKTfpA_19_7"/>
      <w:bookmarkStart w:id="314" w:name="Tc_7lzxlUQPqkihdmWADa19ZA_19_4"/>
      <w:bookmarkStart w:id="315" w:name="Tc_LhLSrPXPYE2v4UcpmzjvKQ_19_0"/>
      <w:bookmarkStart w:id="316" w:name="Tc_vmUGdMptg0WST3mVlAbzWQ_18_14"/>
      <w:bookmarkStart w:id="317" w:name="Tc_KsfVrdZy-E6ufl8ycdAXsw_18_11"/>
      <w:bookmarkStart w:id="318" w:name="Tc_xPoJ5hI7DUuPszuMGK8Rhw_18_5"/>
      <w:bookmarkStart w:id="319" w:name="Tc_toN-X9hs8kOVLr_K3WFuKQ_18_2"/>
      <w:bookmarkStart w:id="320" w:name="Tc_3NKUIYb3PEi1Ac7h6payjw_18_0"/>
      <w:bookmarkStart w:id="321" w:name="Tc_aRsHmuaHf02bEEikk6YL0A_17_14"/>
      <w:bookmarkStart w:id="322" w:name="Tc_DXa8lSWe-UqAC67IdeN5JQ_17_11"/>
      <w:bookmarkStart w:id="323" w:name="Tc_-9h-z59xsk6zsOwcOhaqTA_17_5"/>
      <w:bookmarkStart w:id="324" w:name="Tc_IAyBeeA4EUm05U43iNcu4w_17_0"/>
      <w:bookmarkStart w:id="325" w:name="Tc_8PYa12cI2EyCNF680nSOew_16_11"/>
      <w:bookmarkStart w:id="326" w:name="Tc_2lpgwDJ0eEaCA6R3yYlggA_16_8"/>
      <w:bookmarkStart w:id="327" w:name="Tc_5EeXj83wr0Cem7V33dWtxw_16_5"/>
      <w:bookmarkStart w:id="328" w:name="Tc_mC18OjfG_Eups2_964X0Yg_16_2"/>
      <w:bookmarkStart w:id="329" w:name="Tc_P2CqSZNDq0GOvmB5TQCiow_16_0"/>
      <w:bookmarkStart w:id="330" w:name="Tc_zlOLnwGVUEGW4tlrtymoCA_15_14"/>
      <w:bookmarkStart w:id="331" w:name="Tc_kfbKY0lxNEy-GUV1tpvrcg_15_11"/>
      <w:bookmarkStart w:id="332" w:name="Tc_hCnY0j1x5Ual9rjDi3BYDg_15_5"/>
      <w:bookmarkStart w:id="333" w:name="Tc_xc6sXj1u8UCOxztP1wsUsg_15_2"/>
      <w:bookmarkStart w:id="334" w:name="Tc_teoio5wjdkWZlBSzycT1bw_15_0"/>
      <w:bookmarkStart w:id="335" w:name="Tc_6pqmbWOZQkq-yPi5g0QUNw_14_14"/>
      <w:bookmarkStart w:id="336" w:name="Tc_cKjEL2-kLU-ittOKsly9mg_14_8"/>
      <w:bookmarkStart w:id="337" w:name="Tc_G-AhG-QaTUiI-PutrEDW5Q_14_5"/>
      <w:bookmarkStart w:id="338" w:name="Tc_-70E8cwNFkePQgRJHKTdgw_14_2"/>
      <w:bookmarkStart w:id="339" w:name="Tc_flGbmdzkVUiolE-EM5G4Fg_14_0"/>
      <w:bookmarkStart w:id="340" w:name="Tc_XwAFGpaoBku5GYfKRfzIXQ_13_16"/>
      <w:bookmarkStart w:id="341" w:name="Tc_DhTqhFI_3UO691Zs12ufow_13_13"/>
      <w:bookmarkStart w:id="342" w:name="Tc_PlcxPSAIa0OTHHyVRpmMag_13_10"/>
      <w:bookmarkStart w:id="343" w:name="Tc_rR3UaWS320SKU2RJTrMaKw_13_7"/>
      <w:bookmarkStart w:id="344" w:name="Tc_YCxG_PQS00u5mQ1fr1pdcQ_13_4"/>
      <w:bookmarkStart w:id="345" w:name="Tc_TwvDiL9_lky-zE4cCgmDKg_13_0"/>
      <w:bookmarkStart w:id="346" w:name="Tc_JM9Ka-upp0ONK7HJji3klQ_11_16"/>
      <w:bookmarkStart w:id="347" w:name="Tc_U2vxv-4xuUePUv7eoK4TDQ_11_13"/>
      <w:bookmarkStart w:id="348" w:name="Tc_t9OZW25zvUCBY2NSmxRGlQ_11_10"/>
      <w:bookmarkStart w:id="349" w:name="Tc_JtAruhyZNEGOyPiulAl9PA_11_7"/>
      <w:bookmarkStart w:id="350" w:name="Tc_S5BP_FMS-EqKTxjzEUSQ5A_11_4"/>
      <w:bookmarkStart w:id="351" w:name="Tc_3fUhcZUE80OSG46Z9YJLFg_11_0"/>
      <w:bookmarkStart w:id="352" w:name="Tc_GVsJBigBuEex-u0rFFw6-A_10_14"/>
      <w:bookmarkStart w:id="353" w:name="Tc_rcIVFjwJnEC5xFYPB0Higg_10_11"/>
      <w:bookmarkStart w:id="354" w:name="Tc_tTywsCGnU0G1illOLiN2NQ_10_5"/>
      <w:bookmarkStart w:id="355" w:name="Tc_mVr2a2EM10yOsr9r_agkww_10_2"/>
      <w:bookmarkStart w:id="356" w:name="Tc_4wVoZzTfm0GI5i_lB7zyNQ_10_0"/>
      <w:bookmarkStart w:id="357" w:name="Tc_3rqxX0t_Ekaw0qn-ZY7Tdw_9_14"/>
      <w:bookmarkStart w:id="358" w:name="Tc_3ndfpadzHU2ETlw8jdLtKA_9_11"/>
      <w:bookmarkStart w:id="359" w:name="Tc_YESBq_l5sk2v7E_ovl7gAg_9_0"/>
      <w:bookmarkStart w:id="360" w:name="Tc_BTzb3MyepkmBJL1bOuE8kA_8_11"/>
      <w:bookmarkStart w:id="361" w:name="Tc_MxoDRX2hfUqeLFsd6rl32Q_8_8"/>
      <w:bookmarkStart w:id="362" w:name="Tc_VC3khlYL0EOPLlG7YvgWwA_8_5"/>
      <w:bookmarkStart w:id="363" w:name="Tc_F7gBxZ6MQkSbi4Bxa-S5zg_8_2"/>
      <w:bookmarkStart w:id="364" w:name="Tc_kscVJ9DC9UiGLacpQcpOSw_8_0"/>
      <w:bookmarkStart w:id="365" w:name="Tc_aJHcXuXBqEmLMAEi8yFY_A_7_14"/>
      <w:bookmarkStart w:id="366" w:name="Tc_i-jhvria8ECLuOyCI_ECLA_7_11"/>
      <w:bookmarkStart w:id="367" w:name="Tc_y4GjW2WXw0iU4gFvW_Nh6w_7_5"/>
      <w:bookmarkStart w:id="368" w:name="Tc_OrUfmUdqFE6-B8Z0M4L3LA_7_2"/>
      <w:bookmarkStart w:id="369" w:name="Tc_9Aew8of2O0yVi039IBiPPA_7_0"/>
      <w:bookmarkStart w:id="370" w:name="Tc_CtOsvOs5r0iXaKbnl3cQqA_6_14"/>
      <w:bookmarkStart w:id="371" w:name="Tc_MWoqsOvyGE-e5oEdMNbCAA_6_8"/>
      <w:bookmarkStart w:id="372" w:name="Tc_5A7cg1LGzkG0z7YTwLKkBQ_6_5"/>
      <w:bookmarkStart w:id="373" w:name="Tc_8uZrMBxZ806psLY5IMdCDg_6_2"/>
      <w:bookmarkStart w:id="374" w:name="Tc_Jb_swtyeyEi_lwEJ9YNaNA_6_0"/>
      <w:bookmarkStart w:id="375" w:name="Tc_tRwjcUuq8USp9TwGyBKjAA_5_16"/>
      <w:bookmarkStart w:id="376" w:name="Tc_2972ViUWN0-ot5uMBLiyWg_5_13"/>
      <w:bookmarkStart w:id="377" w:name="Tc_VdmJPoJwSEahTWSuzCaUsQ_5_10"/>
      <w:bookmarkStart w:id="378" w:name="Tc_Fk28nYgMCEmsWhsrRwv8RQ_5_7"/>
      <w:bookmarkStart w:id="379" w:name="Tc_Q_HLsGQEcEWxFD_olC4Kgg_5_4"/>
      <w:bookmarkStart w:id="380" w:name="Tc_wvlSf1buFk2AxMbNwsDqQw_5_0"/>
      <w:bookmarkStart w:id="381" w:name="Tc_pHbP4CMtIEC9dwf-4l1mHw_4_16"/>
      <w:bookmarkStart w:id="382" w:name="Tc_BbK-sRFW-UuYWfooKFMwBQ_4_13"/>
      <w:bookmarkStart w:id="383" w:name="Tc_9NLoVAbIHEO-U0a8IcmKsQ_4_10"/>
      <w:bookmarkStart w:id="384" w:name="Tc_-bzJ1TS6mUOjUinSXEWP7Q_4_7"/>
      <w:bookmarkStart w:id="385" w:name="Tc_ilxc0-aJ0EyooGRVgaiDoQ_4_4"/>
      <w:bookmarkStart w:id="386" w:name="Tc_cFR5g45sw0S7QqkJh6T4Vw_4_2"/>
      <w:bookmarkStart w:id="387" w:name="Tc_-q7C9Eb1Q0KdiBiYQV39kw_4_0"/>
      <w:bookmarkStart w:id="388" w:name="Tc_C3Phm9oPpEGOkrE_KDU5sw_3_16"/>
      <w:bookmarkStart w:id="389" w:name="Tc_vHBW63qlZkSUoG45RfK7dQ_3_13"/>
      <w:bookmarkStart w:id="390" w:name="Tc_H7rRxZUc2kafNQ2lLuiDaQ_3_10"/>
      <w:bookmarkStart w:id="391" w:name="Tc_aRGriyzPaUiTToqMkVwLWg_3_7"/>
      <w:bookmarkStart w:id="392" w:name="Tc_26XYA-rLOEK498k6Z1KEmw_3_2"/>
      <w:bookmarkStart w:id="393" w:name="Tc_JjeUj1sINUCPKimuynno-Q_2_13"/>
      <w:bookmarkStart w:id="394" w:name="Tc_9Q1LPIuNski6sWkfHQX-Jw_1_13"/>
      <w:bookmarkStart w:id="395" w:name="_09862b79_a64e_44a5_af94_01c3f288224e"/>
      <w:bookmarkStart w:id="396" w:name="Tc_kE5I9xVOUE6GTFGVvrN5Tg_19_16"/>
      <w:bookmarkStart w:id="397" w:name="Tc_nRf8w4UMykuh-B1PwMPnRQ_19_13"/>
      <w:bookmarkStart w:id="398" w:name="Tc_jyB8wv2VDEerITleqVQvPg_19_10"/>
      <w:bookmarkStart w:id="399" w:name="Tc_yzbXovSl0k69krUMqKTfpA_19_7"/>
      <w:bookmarkStart w:id="400" w:name="Tc_7lzxlUQPqkihdmWADa19ZA_19_4"/>
      <w:bookmarkStart w:id="401" w:name="Tc_LhLSrPXPYE2v4UcpmzjvKQ_19_0"/>
      <w:bookmarkStart w:id="402" w:name="Tc_vmUGdMptg0WST3mVlAbzWQ_18_14"/>
      <w:bookmarkStart w:id="403" w:name="Tc_KsfVrdZy-E6ufl8ycdAXsw_18_11"/>
      <w:bookmarkStart w:id="404" w:name="Tc_xPoJ5hI7DUuPszuMGK8Rhw_18_5"/>
      <w:bookmarkStart w:id="405" w:name="Tc_toN-X9hs8kOVLr_K3WFuKQ_18_2"/>
      <w:bookmarkStart w:id="406" w:name="Tc_3NKUIYb3PEi1Ac7h6payjw_18_0"/>
      <w:bookmarkStart w:id="407" w:name="Tc_aRsHmuaHf02bEEikk6YL0A_17_14"/>
      <w:bookmarkStart w:id="408" w:name="Tc_DXa8lSWe-UqAC67IdeN5JQ_17_11"/>
      <w:bookmarkStart w:id="409" w:name="Tc_-9h-z59xsk6zsOwcOhaqTA_17_5"/>
      <w:bookmarkStart w:id="410" w:name="Tc_IAyBeeA4EUm05U43iNcu4w_17_0"/>
      <w:bookmarkStart w:id="411" w:name="Tc_8PYa12cI2EyCNF680nSOew_16_11"/>
      <w:bookmarkStart w:id="412" w:name="Tc_2lpgwDJ0eEaCA6R3yYlggA_16_8"/>
      <w:bookmarkStart w:id="413" w:name="Tc_5EeXj83wr0Cem7V33dWtxw_16_5"/>
      <w:bookmarkStart w:id="414" w:name="Tc_mC18OjfG_Eups2_964X0Yg_16_2"/>
      <w:bookmarkStart w:id="415" w:name="Tc_P2CqSZNDq0GOvmB5TQCiow_16_0"/>
      <w:bookmarkStart w:id="416" w:name="Tc_zlOLnwGVUEGW4tlrtymoCA_15_14"/>
      <w:bookmarkStart w:id="417" w:name="Tc_kfbKY0lxNEy-GUV1tpvrcg_15_11"/>
      <w:bookmarkStart w:id="418" w:name="Tc_hCnY0j1x5Ual9rjDi3BYDg_15_5"/>
      <w:bookmarkStart w:id="419" w:name="Tc_xc6sXj1u8UCOxztP1wsUsg_15_2"/>
      <w:bookmarkStart w:id="420" w:name="Tc_teoio5wjdkWZlBSzycT1bw_15_0"/>
      <w:bookmarkStart w:id="421" w:name="Tc_6pqmbWOZQkq-yPi5g0QUNw_14_14"/>
      <w:bookmarkStart w:id="422" w:name="Tc_cKjEL2-kLU-ittOKsly9mg_14_8"/>
      <w:bookmarkStart w:id="423" w:name="Tc_G-AhG-QaTUiI-PutrEDW5Q_14_5"/>
      <w:bookmarkStart w:id="424" w:name="Tc_-70E8cwNFkePQgRJHKTdgw_14_2"/>
      <w:bookmarkStart w:id="425" w:name="Tc_flGbmdzkVUiolE-EM5G4Fg_14_0"/>
      <w:bookmarkStart w:id="426" w:name="Tc_XwAFGpaoBku5GYfKRfzIXQ_13_16"/>
      <w:bookmarkStart w:id="427" w:name="Tc_DhTqhFI_3UO691Zs12ufow_13_13"/>
      <w:bookmarkStart w:id="428" w:name="Tc_PlcxPSAIa0OTHHyVRpmMag_13_10"/>
      <w:bookmarkStart w:id="429" w:name="Tc_rR3UaWS320SKU2RJTrMaKw_13_7"/>
      <w:bookmarkStart w:id="430" w:name="Tc_YCxG_PQS00u5mQ1fr1pdcQ_13_4"/>
      <w:bookmarkStart w:id="431" w:name="Tc_TwvDiL9_lky-zE4cCgmDKg_13_0"/>
      <w:bookmarkStart w:id="432" w:name="Tc_JM9Ka-upp0ONK7HJji3klQ_11_16"/>
      <w:bookmarkStart w:id="433" w:name="Tc_U2vxv-4xuUePUv7eoK4TDQ_11_13"/>
      <w:bookmarkStart w:id="434" w:name="Tc_t9OZW25zvUCBY2NSmxRGlQ_11_10"/>
      <w:bookmarkStart w:id="435" w:name="Tc_JtAruhyZNEGOyPiulAl9PA_11_7"/>
      <w:bookmarkStart w:id="436" w:name="Tc_S5BP_FMS-EqKTxjzEUSQ5A_11_4"/>
      <w:bookmarkStart w:id="437" w:name="Tc_3fUhcZUE80OSG46Z9YJLFg_11_0"/>
      <w:bookmarkStart w:id="438" w:name="Tc_GVsJBigBuEex-u0rFFw6-A_10_14"/>
      <w:bookmarkStart w:id="439" w:name="Tc_rcIVFjwJnEC5xFYPB0Higg_10_11"/>
      <w:bookmarkStart w:id="440" w:name="Tc_tTywsCGnU0G1illOLiN2NQ_10_5"/>
      <w:bookmarkStart w:id="441" w:name="Tc_mVr2a2EM10yOsr9r_agkww_10_2"/>
      <w:bookmarkStart w:id="442" w:name="Tc_4wVoZzTfm0GI5i_lB7zyNQ_10_0"/>
      <w:bookmarkStart w:id="443" w:name="Tc_3rqxX0t_Ekaw0qn-ZY7Tdw_9_14"/>
      <w:bookmarkStart w:id="444" w:name="Tc_3ndfpadzHU2ETlw8jdLtKA_9_11"/>
      <w:bookmarkStart w:id="445" w:name="Tc_YESBq_l5sk2v7E_ovl7gAg_9_0"/>
      <w:bookmarkStart w:id="446" w:name="Tc_BTzb3MyepkmBJL1bOuE8kA_8_11"/>
      <w:bookmarkStart w:id="447" w:name="Tc_MxoDRX2hfUqeLFsd6rl32Q_8_8"/>
      <w:bookmarkStart w:id="448" w:name="Tc_VC3khlYL0EOPLlG7YvgWwA_8_5"/>
      <w:bookmarkStart w:id="449" w:name="Tc_F7gBxZ6MQkSbi4Bxa-S5zg_8_2"/>
      <w:bookmarkStart w:id="450" w:name="Tc_kscVJ9DC9UiGLacpQcpOSw_8_0"/>
      <w:bookmarkStart w:id="451" w:name="Tc_aJHcXuXBqEmLMAEi8yFY_A_7_14"/>
      <w:bookmarkStart w:id="452" w:name="Tc_i-jhvria8ECLuOyCI_ECLA_7_11"/>
      <w:bookmarkStart w:id="453" w:name="Tc_y4GjW2WXw0iU4gFvW_Nh6w_7_5"/>
      <w:bookmarkStart w:id="454" w:name="Tc_OrUfmUdqFE6-B8Z0M4L3LA_7_2"/>
      <w:bookmarkStart w:id="455" w:name="Tc_9Aew8of2O0yVi039IBiPPA_7_0"/>
      <w:bookmarkStart w:id="456" w:name="Tc_CtOsvOs5r0iXaKbnl3cQqA_6_14"/>
      <w:bookmarkStart w:id="457" w:name="Tc_MWoqsOvyGE-e5oEdMNbCAA_6_8"/>
      <w:bookmarkStart w:id="458" w:name="Tc_5A7cg1LGzkG0z7YTwLKkBQ_6_5"/>
      <w:bookmarkStart w:id="459" w:name="Tc_8uZrMBxZ806psLY5IMdCDg_6_2"/>
      <w:bookmarkStart w:id="460" w:name="Tc_Jb_swtyeyEi_lwEJ9YNaNA_6_0"/>
      <w:bookmarkStart w:id="461" w:name="Tc_tRwjcUuq8USp9TwGyBKjAA_5_16"/>
      <w:bookmarkStart w:id="462" w:name="Tc_2972ViUWN0-ot5uMBLiyWg_5_13"/>
      <w:bookmarkStart w:id="463" w:name="Tc_VdmJPoJwSEahTWSuzCaUsQ_5_10"/>
      <w:bookmarkStart w:id="464" w:name="Tc_Fk28nYgMCEmsWhsrRwv8RQ_5_7"/>
      <w:bookmarkStart w:id="465" w:name="Tc_Q_HLsGQEcEWxFD_olC4Kgg_5_4"/>
      <w:bookmarkStart w:id="466" w:name="Tc_wvlSf1buFk2AxMbNwsDqQw_5_0"/>
      <w:bookmarkStart w:id="467" w:name="Tc_pHbP4CMtIEC9dwf-4l1mHw_4_16"/>
      <w:bookmarkStart w:id="468" w:name="Tc_BbK-sRFW-UuYWfooKFMwBQ_4_13"/>
      <w:bookmarkStart w:id="469" w:name="Tc_9NLoVAbIHEO-U0a8IcmKsQ_4_10"/>
      <w:bookmarkStart w:id="470" w:name="Tc_-bzJ1TS6mUOjUinSXEWP7Q_4_7"/>
      <w:bookmarkStart w:id="471" w:name="Tc_ilxc0-aJ0EyooGRVgaiDoQ_4_4"/>
      <w:bookmarkStart w:id="472" w:name="Tc_cFR5g45sw0S7QqkJh6T4Vw_4_2"/>
      <w:bookmarkStart w:id="473" w:name="Tc_-q7C9Eb1Q0KdiBiYQV39kw_4_0"/>
      <w:bookmarkStart w:id="474" w:name="Tc_C3Phm9oPpEGOkrE_KDU5sw_3_16"/>
      <w:bookmarkStart w:id="475" w:name="Tc_vHBW63qlZkSUoG45RfK7dQ_3_13"/>
      <w:bookmarkStart w:id="476" w:name="Tc_H7rRxZUc2kafNQ2lLuiDaQ_3_10"/>
      <w:bookmarkStart w:id="477" w:name="Tc_aRGriyzPaUiTToqMkVwLWg_3_7"/>
      <w:bookmarkStart w:id="478" w:name="Tc_26XYA-rLOEK498k6Z1KEmw_3_2"/>
      <w:bookmarkStart w:id="479" w:name="Tc_JjeUj1sINUCPKimuynno-Q_2_13"/>
      <w:bookmarkStart w:id="480" w:name="Tc_9Q1LPIuNski6sWkfHQX-Jw_1_13"/>
      <w:bookmarkStart w:id="481" w:name="_09862b79_a64e_44a5_af94_01c3f288224e"/>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tbl>
      <w:tblPr>
        <w:tblW w:w="10205" w:type="dxa"/>
        <w:jc w:val="left"/>
        <w:tblInd w:w="0" w:type="dxa"/>
        <w:tblLayout w:type="fixed"/>
        <w:tblCellMar>
          <w:top w:w="0" w:type="dxa"/>
          <w:left w:w="0" w:type="dxa"/>
          <w:bottom w:w="0" w:type="dxa"/>
          <w:right w:w="0" w:type="dxa"/>
        </w:tblCellMar>
      </w:tblPr>
      <w:tblGrid>
        <w:gridCol w:w="2793"/>
        <w:gridCol w:w="346"/>
        <w:gridCol w:w="541"/>
        <w:gridCol w:w="346"/>
        <w:gridCol w:w="216"/>
        <w:gridCol w:w="415"/>
        <w:gridCol w:w="346"/>
        <w:gridCol w:w="237"/>
        <w:gridCol w:w="796"/>
        <w:gridCol w:w="346"/>
        <w:gridCol w:w="213"/>
        <w:gridCol w:w="765"/>
        <w:gridCol w:w="346"/>
        <w:gridCol w:w="262"/>
        <w:gridCol w:w="834"/>
        <w:gridCol w:w="346"/>
        <w:gridCol w:w="228"/>
        <w:gridCol w:w="829"/>
      </w:tblGrid>
      <w:tr>
        <w:trPr/>
        <w:tc>
          <w:tcPr>
            <w:tcW w:w="2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73555" cy="175260"/>
                      <wp:effectExtent l="0" t="0" r="0" b="0"/>
                      <wp:wrapNone/>
                      <wp:docPr id="38" name="Frame37"/>
                      <a:graphic xmlns:a="http://schemas.openxmlformats.org/drawingml/2006/main">
                        <a:graphicData uri="http://schemas.microsoft.com/office/word/2010/wordprocessingShape">
                          <wps:wsp>
                            <wps:cNvSpPr txBox="1"/>
                            <wps:spPr>
                              <a:xfrm>
                                <a:off x="0" y="0"/>
                                <a:ext cx="177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3535" cy="175260"/>
                      <wp:effectExtent l="0" t="0" r="0" b="0"/>
                      <wp:wrapNone/>
                      <wp:docPr id="40" name="Frame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160" cy="175260"/>
                      <wp:effectExtent l="0" t="0" r="0" b="0"/>
                      <wp:wrapNone/>
                      <wp:docPr id="42"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3525" cy="175260"/>
                      <wp:effectExtent l="0" t="0" r="0" b="0"/>
                      <wp:wrapNone/>
                      <wp:docPr id="43" name="Frame4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0495" cy="175260"/>
                      <wp:effectExtent l="0" t="0" r="0" b="0"/>
                      <wp:wrapNone/>
                      <wp:docPr id="45" name="Frame4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46" name="Frame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255" cy="175260"/>
                      <wp:effectExtent l="0" t="0" r="0" b="0"/>
                      <wp:wrapNone/>
                      <wp:docPr id="48" name="Frame4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5775" cy="175260"/>
                      <wp:effectExtent l="0" t="0" r="0" b="0"/>
                      <wp:wrapNone/>
                      <wp:docPr id="49" name="Frame4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6370" cy="175260"/>
                      <wp:effectExtent l="0" t="0" r="0" b="0"/>
                      <wp:wrapNone/>
                      <wp:docPr id="51" name="Frame5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9590" cy="175260"/>
                      <wp:effectExtent l="0" t="0" r="0" b="0"/>
                      <wp:wrapNone/>
                      <wp:docPr id="52" name="Frame5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4780" cy="175260"/>
                      <wp:effectExtent l="0" t="0" r="0" b="0"/>
                      <wp:wrapNone/>
                      <wp:docPr id="54" name="Frame5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6415" cy="175260"/>
                      <wp:effectExtent l="0" t="0" r="0" b="0"/>
                      <wp:wrapNone/>
                      <wp:docPr id="55" name="Frame5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2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8"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2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center"/>
              <w:rPr/>
            </w:pPr>
            <w:r>
              <w:rPr/>
              <w:t>​</w:t>
            </w:r>
          </w:p>
        </w:tc>
        <w:tc>
          <w:tcPr>
            <w:tcW w:w="103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46" w:type="dxa"/>
            <w:tcBorders/>
            <w:vAlign w:val="center"/>
          </w:tcPr>
          <w:p>
            <w:pPr>
              <w:pStyle w:val="TableContents"/>
              <w:bidi w:val="0"/>
              <w:spacing w:before="0" w:after="1"/>
              <w:ind w:left="0" w:right="0" w:hanging="0"/>
              <w:jc w:val="left"/>
              <w:rPr/>
            </w:pPr>
            <w:r>
              <w:rPr/>
              <w:t>​</w:t>
            </w:r>
          </w:p>
        </w:tc>
        <w:tc>
          <w:tcPr>
            <w:tcW w:w="97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1"/>
              <w:ind w:left="0" w:right="0" w:hanging="0"/>
              <w:jc w:val="left"/>
              <w:rPr/>
            </w:pPr>
            <w:r>
              <w:rPr/>
              <w:t>​</w:t>
            </w:r>
          </w:p>
        </w:tc>
        <w:tc>
          <w:tcPr>
            <w:tcW w:w="105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79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1"/>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10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46" w:type="dxa"/>
            <w:tcBorders/>
            <w:vAlign w:val="center"/>
          </w:tcPr>
          <w:p>
            <w:pPr>
              <w:pStyle w:val="TableContents"/>
              <w:bidi w:val="0"/>
              <w:spacing w:before="0" w:after="1"/>
              <w:ind w:left="0" w:right="0" w:hanging="0"/>
              <w:jc w:val="left"/>
              <w:rPr/>
            </w:pPr>
            <w:r>
              <w:rPr/>
              <w:t>  ​ ​ ​</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46" w:type="dxa"/>
            <w:tcBorders/>
            <w:vAlign w:val="center"/>
          </w:tcPr>
          <w:p>
            <w:pPr>
              <w:pStyle w:val="TableContents"/>
              <w:bidi w:val="0"/>
              <w:spacing w:before="0" w:after="1"/>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94,622</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521,742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(470,140)</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18,863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71,411</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(21,563)</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(21,563)</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(36,421)</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(36,421)</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4,749</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4,750</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94,708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947</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526,561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(491,703)</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(17,558)</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18,247</w:t>
            </w:r>
          </w:p>
        </w:tc>
      </w:tr>
      <w:tr>
        <w:trPr/>
        <w:tc>
          <w:tcPr>
            <w:tcW w:w="27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center"/>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97,541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545,438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(542,903)</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(23,740)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(20,229)</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(13,657)</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(13,657)</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978</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1,565</w:t>
            </w:r>
          </w:p>
        </w:tc>
      </w:tr>
      <w:tr>
        <w:trPr/>
        <w:tc>
          <w:tcPr>
            <w:tcW w:w="279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r>
      <w:tr>
        <w:trPr/>
        <w:tc>
          <w:tcPr>
            <w:tcW w:w="2793"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97,627</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547,073</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(556,560)</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(22,762)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(31,273)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82" w:name="Tc_YjUJEcpbB0iXjAAGpOk9_Q_19_16"/>
      <w:bookmarkStart w:id="483" w:name="Tc_QKLNBoUt5USKgnkbvQ1ieg_19_13"/>
      <w:bookmarkStart w:id="484" w:name="Tc_LgS6x_awaEa7Dm0lI8HGlA_19_10"/>
      <w:bookmarkStart w:id="485" w:name="Tc_CLRVK34Jm0SSNy9bEr7g3g_19_7"/>
      <w:bookmarkStart w:id="486" w:name="Tc_mTf1y_amC0GlCWWAkUfNfA_19_4"/>
      <w:bookmarkStart w:id="487" w:name="Tc_8UCZ6OpFl0q2sLtkQ4MYCg_19_0"/>
      <w:bookmarkStart w:id="488" w:name="Tc_7Y6pAhol_0anajIhJ4R_pw_18_14"/>
      <w:bookmarkStart w:id="489" w:name="Tc_K2hZYf22zkiU_RuTrPLEGQ_18_11"/>
      <w:bookmarkStart w:id="490" w:name="Tc_AlhSwKCnVEmJZC5k492l_A_18_5"/>
      <w:bookmarkStart w:id="491" w:name="Tc_W9wZ1XGXnUSE3TRSgVQ5SQ_18_2"/>
      <w:bookmarkStart w:id="492" w:name="Tc_pjKQxLv7O02NkcD6d9ZcVA_18_0"/>
      <w:bookmarkStart w:id="493" w:name="Tc_ydBG-2o9VkOKQaaNRNtqwA_17_14"/>
      <w:bookmarkStart w:id="494" w:name="Tc_8-if5MKrwUCXtq6AecNIag_17_11"/>
      <w:bookmarkStart w:id="495" w:name="Tc_WMdKdtwiQUGe0Wz5Ig_PWg_17_0"/>
      <w:bookmarkStart w:id="496" w:name="Tc_FCNBmbXoukC8n6k3fM5BAw_16_11"/>
      <w:bookmarkStart w:id="497" w:name="Tc_IQ1kZwecWE6JbBbZo8qviw_16_8"/>
      <w:bookmarkStart w:id="498" w:name="Tc_LNjz4N97PE6SWZR0PwBzSg_16_5"/>
      <w:bookmarkStart w:id="499" w:name="Tc_1GgJGi8wBUCmG_oq5OTnww_16_2"/>
      <w:bookmarkStart w:id="500" w:name="Tc_zcWYMQhaIU6qYYBVB0BWhw_16_0"/>
      <w:bookmarkStart w:id="501" w:name="Tc_lD21Y8woBEWBRMMvWZYX9w_15_14"/>
      <w:bookmarkStart w:id="502" w:name="Tc_5qOMlhOHMECTcFGGQG2bJg_15_11"/>
      <w:bookmarkStart w:id="503" w:name="Tc_m8g3DG_4xUWY2ykb7o68vA_15_5"/>
      <w:bookmarkStart w:id="504" w:name="Tc_HNfgRE5etU6vX-b6tP2TNg_15_2"/>
      <w:bookmarkStart w:id="505" w:name="Tc_XXKXYUSR90yei3d3RgyE8g_15_0"/>
      <w:bookmarkStart w:id="506" w:name="Tc_t_tKszkk6k67S8K8HRcdIA_14_14"/>
      <w:bookmarkStart w:id="507" w:name="Tc_DTwCTy7okU25Yldorr7yqw_14_8"/>
      <w:bookmarkStart w:id="508" w:name="Tc_b-9iAnM5q0KBFyZRYlFjvQ_14_5"/>
      <w:bookmarkStart w:id="509" w:name="Tc_3o0FrKjXs0-eAHzaTv-LLQ_14_2"/>
      <w:bookmarkStart w:id="510" w:name="Tc_ZzByWMNtX0GB3bXN9Oh1cA_14_0"/>
      <w:bookmarkStart w:id="511" w:name="Tc_AZZzmEYJWE6SvmoPBPGTeA_13_0"/>
      <w:bookmarkStart w:id="512" w:name="Tc_Kiuk0XXIekaK2au3EYjWYw_11_16"/>
      <w:bookmarkStart w:id="513" w:name="Tc_9gMS11Jci02ILMrpxyfttA_11_13"/>
      <w:bookmarkStart w:id="514" w:name="Tc_l5RgzDc000iuEuOyt_0Wzg_11_10"/>
      <w:bookmarkStart w:id="515" w:name="Tc_oz3T7kA2DUqHUXkfw2uWpA_11_7"/>
      <w:bookmarkStart w:id="516" w:name="Tc_jcK0Pe3k50KueafACWxr8w_11_4"/>
      <w:bookmarkStart w:id="517" w:name="Tc_5moq1OFIb0ersJPBWiB5SA_11_0"/>
      <w:bookmarkStart w:id="518" w:name="Tc_owx1WFHYxUyVdjp9hphCpA_10_14"/>
      <w:bookmarkStart w:id="519" w:name="Tc_Xh0Ue6vxtkau86QQok-y2A_10_11"/>
      <w:bookmarkStart w:id="520" w:name="Tc_coh_Mfqt60qcUBRZfODDYA_10_5"/>
      <w:bookmarkStart w:id="521" w:name="Tc_mUxowkDslE-wMQV4C-TYXg_10_2"/>
      <w:bookmarkStart w:id="522" w:name="Tc_dWz8dL7SkkaIDNKTpBPXag_10_0"/>
      <w:bookmarkStart w:id="523" w:name="Tc_IJYKI1JYAUm1RZzJLb0trQ_9_14"/>
      <w:bookmarkStart w:id="524" w:name="Tc_rpzQQkE6MUi-M5aiqpjZRQ_9_11"/>
      <w:bookmarkStart w:id="525" w:name="Tc_z9uAARhwG0KOaNNpY4M4XQ_9_0"/>
      <w:bookmarkStart w:id="526" w:name="Tc_9qQUtAYOEkelKE9aKM1R6A_8_11"/>
      <w:bookmarkStart w:id="527" w:name="Tc_09kmFz6FMEmbjCqYcsjgMw_8_8"/>
      <w:bookmarkStart w:id="528" w:name="Tc_D9gLm_7mN06UNr4FDzfh6w_8_5"/>
      <w:bookmarkStart w:id="529" w:name="Tc_NEVZarBF3UefUuKQgd_sbQ_8_2"/>
      <w:bookmarkStart w:id="530" w:name="Tc_eegYnVXxOUSYnmsRXgjWug_8_0"/>
      <w:bookmarkStart w:id="531" w:name="Tc_S1MXF_LRxkeTVl0eEQdU1Q_7_14"/>
      <w:bookmarkStart w:id="532" w:name="Tc_dDTPjSZ39UCsYW8z5M8qKg_7_11"/>
      <w:bookmarkStart w:id="533" w:name="Tc_cJtd5eDta0uUabNyIAdIbg_7_5"/>
      <w:bookmarkStart w:id="534" w:name="Tc_4IPDunFHskOMZtV4vB0WWQ_7_2"/>
      <w:bookmarkStart w:id="535" w:name="Tc_oxPHtk-GdEGx5QIVci0YDg_7_0"/>
      <w:bookmarkStart w:id="536" w:name="Tc_-G2EzUEFbE-RDOqeyLQPtQ_6_14"/>
      <w:bookmarkStart w:id="537" w:name="Tc_H-DaDklElEqxENicbTpxTw_6_8"/>
      <w:bookmarkStart w:id="538" w:name="Tc_W2_OR-fE8EeAllO7WDzgKg_6_5"/>
      <w:bookmarkStart w:id="539" w:name="Tc_hmhiMPXluUirtftILEuZLA_6_2"/>
      <w:bookmarkStart w:id="540" w:name="Tc_BGYmgHyXr0qbXGTuz7e4VQ_6_0"/>
      <w:bookmarkStart w:id="541" w:name="Tc_RYSErVddLUOaQFgF3VfGGA_5_16"/>
      <w:bookmarkStart w:id="542" w:name="Tc_vyLEjdRhAE2TVnV9XCazCA_5_13"/>
      <w:bookmarkStart w:id="543" w:name="Tc_s6ET9lWpoUaBePCCHzaegg_5_10"/>
      <w:bookmarkStart w:id="544" w:name="Tc_l6F60ArL8k-h3Qyam3ZLqQ_5_7"/>
      <w:bookmarkStart w:id="545" w:name="Tc_Vs-R9vzsKUCEF4FbK6EnJw_5_4"/>
      <w:bookmarkStart w:id="546" w:name="Tc_umjLfofvgE6lhNP_e5tKxg_5_0"/>
      <w:bookmarkStart w:id="547" w:name="Tc_gSbdnC9dtEWprp7F8WeKiQ_4_16"/>
      <w:bookmarkStart w:id="548" w:name="Tc_gwwjZ0EjEkmhoEuncD1bCA_4_13"/>
      <w:bookmarkStart w:id="549" w:name="Tc_lIwckCRFr0qHKJqIi9bBqA_4_10"/>
      <w:bookmarkStart w:id="550" w:name="Tc_1RJy2nTmEkCffaC7PbbLpg_4_7"/>
      <w:bookmarkStart w:id="551" w:name="Tc_QNdFJWaHvkqk4vs2F6UVGg_4_4"/>
      <w:bookmarkStart w:id="552" w:name="Tc_toYe7nwDqUaWeDVFSEzNCw_4_2"/>
      <w:bookmarkStart w:id="553" w:name="Tc_F5H0F3PwM0KlrSuaJ5-Ltg_4_0"/>
      <w:bookmarkStart w:id="554" w:name="Tc_s9tK6HEniEiBMNUTTE0R-A_3_16"/>
      <w:bookmarkStart w:id="555" w:name="Tc_x-3h64DaFkmR7ojbL4q4dw_3_13"/>
      <w:bookmarkStart w:id="556" w:name="Tc_4qH4dl59bkOqqNLGyQyKuA_3_10"/>
      <w:bookmarkStart w:id="557" w:name="Tc_pHW0lOgsP0uMBFxVIGhsCA_3_7"/>
      <w:bookmarkStart w:id="558" w:name="Tc_mnCCRkysfUG_9AeSqzkEaA_3_2"/>
      <w:bookmarkStart w:id="559" w:name="Tc_cQrK9GO8KESqGCVSlMGj6Q_2_13"/>
      <w:bookmarkStart w:id="560" w:name="Tc_FsBX1RyA_ky4J1BRpKcZPA_1_13"/>
      <w:bookmarkStart w:id="561" w:name="_3c8efa3d_9775_4212_9a10_52ce7df7c736"/>
      <w:bookmarkStart w:id="562" w:name="Tc_YjUJEcpbB0iXjAAGpOk9_Q_19_16"/>
      <w:bookmarkStart w:id="563" w:name="Tc_QKLNBoUt5USKgnkbvQ1ieg_19_13"/>
      <w:bookmarkStart w:id="564" w:name="Tc_LgS6x_awaEa7Dm0lI8HGlA_19_10"/>
      <w:bookmarkStart w:id="565" w:name="Tc_CLRVK34Jm0SSNy9bEr7g3g_19_7"/>
      <w:bookmarkStart w:id="566" w:name="Tc_mTf1y_amC0GlCWWAkUfNfA_19_4"/>
      <w:bookmarkStart w:id="567" w:name="Tc_8UCZ6OpFl0q2sLtkQ4MYCg_19_0"/>
      <w:bookmarkStart w:id="568" w:name="Tc_7Y6pAhol_0anajIhJ4R_pw_18_14"/>
      <w:bookmarkStart w:id="569" w:name="Tc_K2hZYf22zkiU_RuTrPLEGQ_18_11"/>
      <w:bookmarkStart w:id="570" w:name="Tc_AlhSwKCnVEmJZC5k492l_A_18_5"/>
      <w:bookmarkStart w:id="571" w:name="Tc_W9wZ1XGXnUSE3TRSgVQ5SQ_18_2"/>
      <w:bookmarkStart w:id="572" w:name="Tc_pjKQxLv7O02NkcD6d9ZcVA_18_0"/>
      <w:bookmarkStart w:id="573" w:name="Tc_ydBG-2o9VkOKQaaNRNtqwA_17_14"/>
      <w:bookmarkStart w:id="574" w:name="Tc_8-if5MKrwUCXtq6AecNIag_17_11"/>
      <w:bookmarkStart w:id="575" w:name="Tc_WMdKdtwiQUGe0Wz5Ig_PWg_17_0"/>
      <w:bookmarkStart w:id="576" w:name="Tc_FCNBmbXoukC8n6k3fM5BAw_16_11"/>
      <w:bookmarkStart w:id="577" w:name="Tc_IQ1kZwecWE6JbBbZo8qviw_16_8"/>
      <w:bookmarkStart w:id="578" w:name="Tc_LNjz4N97PE6SWZR0PwBzSg_16_5"/>
      <w:bookmarkStart w:id="579" w:name="Tc_1GgJGi8wBUCmG_oq5OTnww_16_2"/>
      <w:bookmarkStart w:id="580" w:name="Tc_zcWYMQhaIU6qYYBVB0BWhw_16_0"/>
      <w:bookmarkStart w:id="581" w:name="Tc_lD21Y8woBEWBRMMvWZYX9w_15_14"/>
      <w:bookmarkStart w:id="582" w:name="Tc_5qOMlhOHMECTcFGGQG2bJg_15_11"/>
      <w:bookmarkStart w:id="583" w:name="Tc_m8g3DG_4xUWY2ykb7o68vA_15_5"/>
      <w:bookmarkStart w:id="584" w:name="Tc_HNfgRE5etU6vX-b6tP2TNg_15_2"/>
      <w:bookmarkStart w:id="585" w:name="Tc_XXKXYUSR90yei3d3RgyE8g_15_0"/>
      <w:bookmarkStart w:id="586" w:name="Tc_t_tKszkk6k67S8K8HRcdIA_14_14"/>
      <w:bookmarkStart w:id="587" w:name="Tc_DTwCTy7okU25Yldorr7yqw_14_8"/>
      <w:bookmarkStart w:id="588" w:name="Tc_b-9iAnM5q0KBFyZRYlFjvQ_14_5"/>
      <w:bookmarkStart w:id="589" w:name="Tc_3o0FrKjXs0-eAHzaTv-LLQ_14_2"/>
      <w:bookmarkStart w:id="590" w:name="Tc_ZzByWMNtX0GB3bXN9Oh1cA_14_0"/>
      <w:bookmarkStart w:id="591" w:name="Tc_AZZzmEYJWE6SvmoPBPGTeA_13_0"/>
      <w:bookmarkStart w:id="592" w:name="Tc_Kiuk0XXIekaK2au3EYjWYw_11_16"/>
      <w:bookmarkStart w:id="593" w:name="Tc_9gMS11Jci02ILMrpxyfttA_11_13"/>
      <w:bookmarkStart w:id="594" w:name="Tc_l5RgzDc000iuEuOyt_0Wzg_11_10"/>
      <w:bookmarkStart w:id="595" w:name="Tc_oz3T7kA2DUqHUXkfw2uWpA_11_7"/>
      <w:bookmarkStart w:id="596" w:name="Tc_jcK0Pe3k50KueafACWxr8w_11_4"/>
      <w:bookmarkStart w:id="597" w:name="Tc_5moq1OFIb0ersJPBWiB5SA_11_0"/>
      <w:bookmarkStart w:id="598" w:name="Tc_owx1WFHYxUyVdjp9hphCpA_10_14"/>
      <w:bookmarkStart w:id="599" w:name="Tc_Xh0Ue6vxtkau86QQok-y2A_10_11"/>
      <w:bookmarkStart w:id="600" w:name="Tc_coh_Mfqt60qcUBRZfODDYA_10_5"/>
      <w:bookmarkStart w:id="601" w:name="Tc_mUxowkDslE-wMQV4C-TYXg_10_2"/>
      <w:bookmarkStart w:id="602" w:name="Tc_dWz8dL7SkkaIDNKTpBPXag_10_0"/>
      <w:bookmarkStart w:id="603" w:name="Tc_IJYKI1JYAUm1RZzJLb0trQ_9_14"/>
      <w:bookmarkStart w:id="604" w:name="Tc_rpzQQkE6MUi-M5aiqpjZRQ_9_11"/>
      <w:bookmarkStart w:id="605" w:name="Tc_z9uAARhwG0KOaNNpY4M4XQ_9_0"/>
      <w:bookmarkStart w:id="606" w:name="Tc_9qQUtAYOEkelKE9aKM1R6A_8_11"/>
      <w:bookmarkStart w:id="607" w:name="Tc_09kmFz6FMEmbjCqYcsjgMw_8_8"/>
      <w:bookmarkStart w:id="608" w:name="Tc_D9gLm_7mN06UNr4FDzfh6w_8_5"/>
      <w:bookmarkStart w:id="609" w:name="Tc_NEVZarBF3UefUuKQgd_sbQ_8_2"/>
      <w:bookmarkStart w:id="610" w:name="Tc_eegYnVXxOUSYnmsRXgjWug_8_0"/>
      <w:bookmarkStart w:id="611" w:name="Tc_S1MXF_LRxkeTVl0eEQdU1Q_7_14"/>
      <w:bookmarkStart w:id="612" w:name="Tc_dDTPjSZ39UCsYW8z5M8qKg_7_11"/>
      <w:bookmarkStart w:id="613" w:name="Tc_cJtd5eDta0uUabNyIAdIbg_7_5"/>
      <w:bookmarkStart w:id="614" w:name="Tc_4IPDunFHskOMZtV4vB0WWQ_7_2"/>
      <w:bookmarkStart w:id="615" w:name="Tc_oxPHtk-GdEGx5QIVci0YDg_7_0"/>
      <w:bookmarkStart w:id="616" w:name="Tc_-G2EzUEFbE-RDOqeyLQPtQ_6_14"/>
      <w:bookmarkStart w:id="617" w:name="Tc_H-DaDklElEqxENicbTpxTw_6_8"/>
      <w:bookmarkStart w:id="618" w:name="Tc_W2_OR-fE8EeAllO7WDzgKg_6_5"/>
      <w:bookmarkStart w:id="619" w:name="Tc_hmhiMPXluUirtftILEuZLA_6_2"/>
      <w:bookmarkStart w:id="620" w:name="Tc_BGYmgHyXr0qbXGTuz7e4VQ_6_0"/>
      <w:bookmarkStart w:id="621" w:name="Tc_RYSErVddLUOaQFgF3VfGGA_5_16"/>
      <w:bookmarkStart w:id="622" w:name="Tc_vyLEjdRhAE2TVnV9XCazCA_5_13"/>
      <w:bookmarkStart w:id="623" w:name="Tc_s6ET9lWpoUaBePCCHzaegg_5_10"/>
      <w:bookmarkStart w:id="624" w:name="Tc_l6F60ArL8k-h3Qyam3ZLqQ_5_7"/>
      <w:bookmarkStart w:id="625" w:name="Tc_Vs-R9vzsKUCEF4FbK6EnJw_5_4"/>
      <w:bookmarkStart w:id="626" w:name="Tc_umjLfofvgE6lhNP_e5tKxg_5_0"/>
      <w:bookmarkStart w:id="627" w:name="Tc_gSbdnC9dtEWprp7F8WeKiQ_4_16"/>
      <w:bookmarkStart w:id="628" w:name="Tc_gwwjZ0EjEkmhoEuncD1bCA_4_13"/>
      <w:bookmarkStart w:id="629" w:name="Tc_lIwckCRFr0qHKJqIi9bBqA_4_10"/>
      <w:bookmarkStart w:id="630" w:name="Tc_1RJy2nTmEkCffaC7PbbLpg_4_7"/>
      <w:bookmarkStart w:id="631" w:name="Tc_QNdFJWaHvkqk4vs2F6UVGg_4_4"/>
      <w:bookmarkStart w:id="632" w:name="Tc_toYe7nwDqUaWeDVFSEzNCw_4_2"/>
      <w:bookmarkStart w:id="633" w:name="Tc_F5H0F3PwM0KlrSuaJ5-Ltg_4_0"/>
      <w:bookmarkStart w:id="634" w:name="Tc_s9tK6HEniEiBMNUTTE0R-A_3_16"/>
      <w:bookmarkStart w:id="635" w:name="Tc_x-3h64DaFkmR7ojbL4q4dw_3_13"/>
      <w:bookmarkStart w:id="636" w:name="Tc_4qH4dl59bkOqqNLGyQyKuA_3_10"/>
      <w:bookmarkStart w:id="637" w:name="Tc_pHW0lOgsP0uMBFxVIGhsCA_3_7"/>
      <w:bookmarkStart w:id="638" w:name="Tc_mnCCRkysfUG_9AeSqzkEaA_3_2"/>
      <w:bookmarkStart w:id="639" w:name="Tc_cQrK9GO8KESqGCVSlMGj6Q_2_13"/>
      <w:bookmarkStart w:id="640" w:name="Tc_FsBX1RyA_ky4J1BRpKcZPA_1_13"/>
      <w:bookmarkStart w:id="641" w:name="_3c8efa3d_9775_4212_9a10_52ce7df7c736"/>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tbl>
      <w:tblPr>
        <w:tblW w:w="10205" w:type="dxa"/>
        <w:jc w:val="left"/>
        <w:tblInd w:w="0" w:type="dxa"/>
        <w:tblLayout w:type="fixed"/>
        <w:tblCellMar>
          <w:top w:w="0" w:type="dxa"/>
          <w:left w:w="0" w:type="dxa"/>
          <w:bottom w:w="0" w:type="dxa"/>
          <w:right w:w="0" w:type="dxa"/>
        </w:tblCellMar>
      </w:tblPr>
      <w:tblGrid>
        <w:gridCol w:w="2993"/>
        <w:gridCol w:w="346"/>
        <w:gridCol w:w="541"/>
        <w:gridCol w:w="346"/>
        <w:gridCol w:w="216"/>
        <w:gridCol w:w="415"/>
        <w:gridCol w:w="346"/>
        <w:gridCol w:w="241"/>
        <w:gridCol w:w="810"/>
        <w:gridCol w:w="346"/>
        <w:gridCol w:w="214"/>
        <w:gridCol w:w="767"/>
        <w:gridCol w:w="346"/>
        <w:gridCol w:w="262"/>
        <w:gridCol w:w="834"/>
        <w:gridCol w:w="346"/>
        <w:gridCol w:w="181"/>
        <w:gridCol w:w="655"/>
      </w:tblGrid>
      <w:tr>
        <w:trPr/>
        <w:tc>
          <w:tcPr>
            <w:tcW w:w="2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00555" cy="175260"/>
                      <wp:effectExtent l="0" t="0" r="0" b="0"/>
                      <wp:wrapNone/>
                      <wp:docPr id="56" name="Frame55"/>
                      <a:graphic xmlns:a="http://schemas.openxmlformats.org/drawingml/2006/main">
                        <a:graphicData uri="http://schemas.microsoft.com/office/word/2010/wordprocessingShape">
                          <wps:wsp>
                            <wps:cNvSpPr txBox="1"/>
                            <wps:spPr>
                              <a:xfrm>
                                <a:off x="0" y="0"/>
                                <a:ext cx="190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43535" cy="175260"/>
                      <wp:effectExtent l="0" t="0" r="0" b="0"/>
                      <wp:wrapNone/>
                      <wp:docPr id="58" name="Frame5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7160" cy="175260"/>
                      <wp:effectExtent l="0" t="0" r="0" b="0"/>
                      <wp:wrapNone/>
                      <wp:docPr id="60" name="Frame5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63525" cy="175260"/>
                      <wp:effectExtent l="0" t="0" r="0" b="0"/>
                      <wp:wrapNone/>
                      <wp:docPr id="61" name="Frame6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3035" cy="175260"/>
                      <wp:effectExtent l="0" t="0" r="0" b="0"/>
                      <wp:wrapNone/>
                      <wp:docPr id="63" name="Frame6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4350" cy="175260"/>
                      <wp:effectExtent l="0" t="0" r="0" b="0"/>
                      <wp:wrapNone/>
                      <wp:docPr id="64" name="Frame6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5890" cy="175260"/>
                      <wp:effectExtent l="0" t="0" r="0" b="0"/>
                      <wp:wrapNone/>
                      <wp:docPr id="66" name="Frame6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7045" cy="175260"/>
                      <wp:effectExtent l="0" t="0" r="0" b="0"/>
                      <wp:wrapNone/>
                      <wp:docPr id="67" name="Frame6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6370" cy="175260"/>
                      <wp:effectExtent l="0" t="0" r="0" b="0"/>
                      <wp:wrapNone/>
                      <wp:docPr id="69" name="Frame6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9590" cy="175260"/>
                      <wp:effectExtent l="0" t="0" r="0" b="0"/>
                      <wp:wrapNone/>
                      <wp:docPr id="70" name="Frame6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14935" cy="175260"/>
                      <wp:effectExtent l="0" t="0" r="0" b="0"/>
                      <wp:wrapNone/>
                      <wp:docPr id="72"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15925" cy="175260"/>
                      <wp:effectExtent l="0" t="0" r="0" b="0"/>
                      <wp:wrapNone/>
                      <wp:docPr id="73" name="Frame72"/>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29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8"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r>
      <w:tr>
        <w:trPr/>
        <w:tc>
          <w:tcPr>
            <w:tcW w:w="29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46" w:type="dxa"/>
            <w:tcBorders/>
            <w:vAlign w:val="center"/>
          </w:tcPr>
          <w:p>
            <w:pPr>
              <w:pStyle w:val="TableContents"/>
              <w:bidi w:val="0"/>
              <w:spacing w:before="0" w:after="0"/>
              <w:ind w:left="0" w:right="0" w:hanging="0"/>
              <w:jc w:val="left"/>
              <w:rPr/>
            </w:pPr>
            <w:r>
              <w:rPr/>
              <w:t>​</w:t>
            </w:r>
          </w:p>
        </w:tc>
        <w:tc>
          <w:tcPr>
            <w:tcW w:w="9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46" w:type="dxa"/>
            <w:tcBorders/>
            <w:vAlign w:val="center"/>
          </w:tcPr>
          <w:p>
            <w:pPr>
              <w:pStyle w:val="TableContents"/>
              <w:bidi w:val="0"/>
              <w:spacing w:before="0" w:after="0"/>
              <w:ind w:left="0" w:right="0" w:hanging="0"/>
              <w:jc w:val="left"/>
              <w:rPr/>
            </w:pPr>
            <w:r>
              <w:rPr/>
              <w:t>​</w:t>
            </w:r>
          </w:p>
        </w:tc>
        <w:tc>
          <w:tcPr>
            <w:tcW w:w="83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46" w:type="dxa"/>
            <w:tcBorders/>
            <w:vAlign w:val="center"/>
          </w:tcPr>
          <w:p>
            <w:pPr>
              <w:pStyle w:val="TableContents"/>
              <w:bidi w:val="0"/>
              <w:spacing w:before="0" w:after="0"/>
              <w:ind w:left="0" w:right="0" w:hanging="0"/>
              <w:jc w:val="left"/>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46" w:type="dxa"/>
            <w:tcBorders/>
            <w:vAlign w:val="center"/>
          </w:tcPr>
          <w:p>
            <w:pPr>
              <w:pStyle w:val="TableContents"/>
              <w:bidi w:val="0"/>
              <w:spacing w:before="0" w:after="0"/>
              <w:ind w:left="0" w:right="0" w:hanging="0"/>
              <w:jc w:val="left"/>
              <w:rPr/>
            </w:pPr>
            <w:r>
              <w:rPr/>
              <w:t>  ​ ​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94,221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519,878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(442,922)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19,584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97,482</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(48,781)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(48,781)</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(37,142)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(37,142)</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487</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8,075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8,080</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94,708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526,561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(491,703)</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(17,558)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18,247</w:t>
            </w:r>
          </w:p>
        </w:tc>
      </w:tr>
      <w:tr>
        <w:trPr/>
        <w:tc>
          <w:tcPr>
            <w:tcW w:w="29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96,866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969</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544,567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(534,370)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(1,868)</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(22,190)</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(22,190)</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(9,728)</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3,296</w:t>
            </w:r>
          </w:p>
        </w:tc>
      </w:tr>
      <w:tr>
        <w:trPr/>
        <w:tc>
          <w:tcPr>
            <w:tcW w:w="2993"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(956)</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(956)</w:t>
            </w:r>
          </w:p>
        </w:tc>
      </w:tr>
      <w:tr>
        <w:trPr/>
        <w:tc>
          <w:tcPr>
            <w:tcW w:w="2993"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97,627</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547,073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(556,560)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(22,762)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42" w:name="_099338f8_e343_4361_8588_1ef19e7cf8ef"/>
      <w:bookmarkEnd w:id="642"/>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643" w:name="CONSOLIDATEDSTATEMENTOFCASHFLOWS_338430"/>
      <w:bookmarkEnd w:id="643"/>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44" w:name="Tc_obhTZh9hm0ODzG7wkKjggA_51_0"/>
      <w:bookmarkStart w:id="645" w:name="Tc_orpqYgIDDE-aaH45FlNpyQ_50_5"/>
      <w:bookmarkStart w:id="646" w:name="Tc_wc3jPLxm-0aNTt5PBxzN-w_50_2"/>
      <w:bookmarkStart w:id="647" w:name="Tc_Lkw3IBd790GcvN0JFmpIPg_50_0"/>
      <w:bookmarkStart w:id="648" w:name="Tc_m5aWzbcTxUK30oM45YUF4A_49_0"/>
      <w:bookmarkStart w:id="649" w:name="Tc_AzfuuthGjk2av7_BE9v1ag_47_5"/>
      <w:bookmarkStart w:id="650" w:name="Tc_LGlruE4Zr0G2CAEupm4fOA_47_2"/>
      <w:bookmarkStart w:id="651" w:name="Tc_O3vMV2Q9RUmoZt1BQGuZiQ_47_0"/>
      <w:bookmarkStart w:id="652" w:name="Tc_x3HKKS0Zx0Ss2-ufhZ8rUg_46_0"/>
      <w:bookmarkStart w:id="653" w:name="Tc_bK2yf0Yf4U2ctlIoTQjhLQ_45_0"/>
      <w:bookmarkStart w:id="654" w:name="Tc_EBjCcLA3akq34BHwDyWuKQ_44_0"/>
      <w:bookmarkStart w:id="655" w:name="Tc_on-Kq1EQ_EiSH_t2D90F9w_43_0"/>
      <w:bookmarkStart w:id="656" w:name="Tc_eHkjbfnW2k2h0GJ3snueZg_42_0"/>
      <w:bookmarkStart w:id="657" w:name="Tc_CCYQeZ3JP0ifPSfdRq615A_41_6"/>
      <w:bookmarkStart w:id="658" w:name="Tc_JdXmzGIkrUa2CvgVQ_eyQQ_41_0"/>
      <w:bookmarkStart w:id="659" w:name="Tc_8HNx6lJhXkOqRZqIj3lYHw_40_0"/>
      <w:bookmarkStart w:id="660" w:name="Tc_vTaTW8IlG0-MBP31rChxjw_39_0"/>
      <w:bookmarkStart w:id="661" w:name="Tc_0WykWChr1Ue17XyMtx6DdQ_38_0"/>
      <w:bookmarkStart w:id="662" w:name="Tc_AmofcXcXbkSH6lzBJeoDkQ_37_0"/>
      <w:bookmarkStart w:id="663" w:name="Tc_k74EIRqAHEatbVnL_VADJw_36_0"/>
      <w:bookmarkStart w:id="664" w:name="Tc_aDhQdAAZAEKxzZ-cI-1qtQ_35_0"/>
      <w:bookmarkStart w:id="665" w:name="Tc_eIph23ZBQkK6C51-4aSBjQ_34_0"/>
      <w:bookmarkStart w:id="666" w:name="Tc_c3l8IclYzUiinU1voJP8hQ_33_0"/>
      <w:bookmarkStart w:id="667" w:name="Tc_c_tZkxColEGlCF09sZvBBQ_32_6"/>
      <w:bookmarkStart w:id="668" w:name="Tc_zGCEkGCuikyFTFKrVp3TvA_32_0"/>
      <w:bookmarkStart w:id="669" w:name="Tc_0CIL_m0iyEe_W0S6fPHN3g_31_0"/>
      <w:bookmarkStart w:id="670" w:name="Tc_vLZBr4ceOku7SUFXN8m0EQ_30_3"/>
      <w:bookmarkStart w:id="671" w:name="Tc_rdS4ep9BLU-ek19G2ENlVw_30_0"/>
      <w:bookmarkStart w:id="672" w:name="Tc_IZEOGsRiukiD9cLoAtgX2g_29_3"/>
      <w:bookmarkStart w:id="673" w:name="Tc_UxE3c52-R0OZHu7USU5mfg_29_0"/>
      <w:bookmarkStart w:id="674" w:name="Tc_AQm7wdmv_E2fzEky2Bz-jg_28_0"/>
      <w:bookmarkStart w:id="675" w:name="Tc_f-tz82NO4kSy6Z46EU6mAw_27_0"/>
      <w:bookmarkStart w:id="676" w:name="Tc_4XwagQpLzUeWo5dWl7NE-w_26_0"/>
      <w:bookmarkStart w:id="677" w:name="Tc_iYOlb_U6bE6YZl0Xw3WleQ_25_0"/>
      <w:bookmarkStart w:id="678" w:name="Tc_27C1c9t-AEazTo-s_RGR7g_24_0"/>
      <w:bookmarkStart w:id="679" w:name="Tc_ijcakHm-1UuuJpk2xl9jXg_23_0"/>
      <w:bookmarkStart w:id="680" w:name="Tc_6afWGh3uEEO-BKD4xKvV1Q_22_0"/>
      <w:bookmarkStart w:id="681" w:name="Tc_QeDF50g5XEqkDgRUMLZFNQ_21_0"/>
      <w:bookmarkStart w:id="682" w:name="Tc_YjsX9rzA4kqx3DTuvbKZcw_20_0"/>
      <w:bookmarkStart w:id="683" w:name="Tc_B5eMPRRNckqKBA1sndGQZw_19_0"/>
      <w:bookmarkStart w:id="684" w:name="Tc_B4Aq4N7UNEiLS9rfddNsrA_18_0"/>
      <w:bookmarkStart w:id="685" w:name="Tc_YkhKinoAkEuUXMuZ1qeokA_17_0"/>
      <w:bookmarkStart w:id="686" w:name="Tc_dgZzAYapXUGQAUejoLMfeQ_16_0"/>
      <w:bookmarkStart w:id="687" w:name="Tc_owWLd2UXl0aTrrRxzX-1Xg_15_0"/>
      <w:bookmarkStart w:id="688" w:name="Tc_ANcs0EwkNEWeZbELarLWMg_14_3"/>
      <w:bookmarkStart w:id="689" w:name="Tc_whQTdd_eeEa6HEIs6o3jkw_14_0"/>
      <w:bookmarkStart w:id="690" w:name="Tc_z3Tp4AEUEUCamOjOpUikOQ_13_0"/>
      <w:bookmarkStart w:id="691" w:name="Tc_AEnV5-iMmk-oS7Apa0DenQ_12_3"/>
      <w:bookmarkStart w:id="692" w:name="Tc_ulJBVkv-gkGaJO9vCXyQkw_12_0"/>
      <w:bookmarkStart w:id="693" w:name="Tc_vZ9UOoaFv0y7RZJ8kq25-g_11_0"/>
      <w:bookmarkStart w:id="694" w:name="Tc_Nepn3V7BHEyiW5cneGl7Ww_10_0"/>
      <w:bookmarkStart w:id="695" w:name="Tc_g0FHXTBPlkerptBnjzJX1g_9_0"/>
      <w:bookmarkStart w:id="696" w:name="Tc_kLDOxYOCm0GRjxHN2NGz1w_8_0"/>
      <w:bookmarkStart w:id="697" w:name="Tc_wHKomTTD6U-TVZlI_YxzBw_7_0"/>
      <w:bookmarkStart w:id="698" w:name="Tc_ZNHryk8qJk6Vbr3EenqBEA_6_0"/>
      <w:bookmarkStart w:id="699" w:name="Tc_sT6bERQYoUuAX6ebVQcS0Q_5_0"/>
      <w:bookmarkStart w:id="700" w:name="Tc_pFxFHwKXjUuScarK6wbamA_4_5"/>
      <w:bookmarkStart w:id="701" w:name="Tc_jbnLCbl1PE-DcMVMA2dV6Q_4_2"/>
      <w:bookmarkStart w:id="702" w:name="Tc_VznyeqmZmU6nd-U2GYgRRw_4_0"/>
      <w:bookmarkStart w:id="703" w:name="Tc_v2llQvt6x0-GExfNGBI35w_3_0"/>
      <w:bookmarkStart w:id="704" w:name="Tc_UX9wprAwHkm44McsX3xxow_2_5"/>
      <w:bookmarkStart w:id="705" w:name="Tc_SLy0mdGbjE2zK8Pg2rMnIw_2_2"/>
      <w:bookmarkStart w:id="706" w:name="Tc_Xg4b_b9yH0eNH634BLDhEg_2_0"/>
      <w:bookmarkStart w:id="707" w:name="Tc_HrFf3JNdtUaJySMbcwvNkA_1_2"/>
      <w:bookmarkStart w:id="708" w:name="_cc0ddde7_3ec3_4d30_ad3b_180631efdede"/>
      <w:bookmarkStart w:id="709" w:name="Tc_obhTZh9hm0ODzG7wkKjggA_51_0"/>
      <w:bookmarkStart w:id="710" w:name="Tc_orpqYgIDDE-aaH45FlNpyQ_50_5"/>
      <w:bookmarkStart w:id="711" w:name="Tc_wc3jPLxm-0aNTt5PBxzN-w_50_2"/>
      <w:bookmarkStart w:id="712" w:name="Tc_Lkw3IBd790GcvN0JFmpIPg_50_0"/>
      <w:bookmarkStart w:id="713" w:name="Tc_m5aWzbcTxUK30oM45YUF4A_49_0"/>
      <w:bookmarkStart w:id="714" w:name="Tc_AzfuuthGjk2av7_BE9v1ag_47_5"/>
      <w:bookmarkStart w:id="715" w:name="Tc_LGlruE4Zr0G2CAEupm4fOA_47_2"/>
      <w:bookmarkStart w:id="716" w:name="Tc_O3vMV2Q9RUmoZt1BQGuZiQ_47_0"/>
      <w:bookmarkStart w:id="717" w:name="Tc_x3HKKS0Zx0Ss2-ufhZ8rUg_46_0"/>
      <w:bookmarkStart w:id="718" w:name="Tc_bK2yf0Yf4U2ctlIoTQjhLQ_45_0"/>
      <w:bookmarkStart w:id="719" w:name="Tc_EBjCcLA3akq34BHwDyWuKQ_44_0"/>
      <w:bookmarkStart w:id="720" w:name="Tc_on-Kq1EQ_EiSH_t2D90F9w_43_0"/>
      <w:bookmarkStart w:id="721" w:name="Tc_eHkjbfnW2k2h0GJ3snueZg_42_0"/>
      <w:bookmarkStart w:id="722" w:name="Tc_CCYQeZ3JP0ifPSfdRq615A_41_6"/>
      <w:bookmarkStart w:id="723" w:name="Tc_JdXmzGIkrUa2CvgVQ_eyQQ_41_0"/>
      <w:bookmarkStart w:id="724" w:name="Tc_8HNx6lJhXkOqRZqIj3lYHw_40_0"/>
      <w:bookmarkStart w:id="725" w:name="Tc_vTaTW8IlG0-MBP31rChxjw_39_0"/>
      <w:bookmarkStart w:id="726" w:name="Tc_0WykWChr1Ue17XyMtx6DdQ_38_0"/>
      <w:bookmarkStart w:id="727" w:name="Tc_AmofcXcXbkSH6lzBJeoDkQ_37_0"/>
      <w:bookmarkStart w:id="728" w:name="Tc_k74EIRqAHEatbVnL_VADJw_36_0"/>
      <w:bookmarkStart w:id="729" w:name="Tc_aDhQdAAZAEKxzZ-cI-1qtQ_35_0"/>
      <w:bookmarkStart w:id="730" w:name="Tc_eIph23ZBQkK6C51-4aSBjQ_34_0"/>
      <w:bookmarkStart w:id="731" w:name="Tc_c3l8IclYzUiinU1voJP8hQ_33_0"/>
      <w:bookmarkStart w:id="732" w:name="Tc_c_tZkxColEGlCF09sZvBBQ_32_6"/>
      <w:bookmarkStart w:id="733" w:name="Tc_zGCEkGCuikyFTFKrVp3TvA_32_0"/>
      <w:bookmarkStart w:id="734" w:name="Tc_0CIL_m0iyEe_W0S6fPHN3g_31_0"/>
      <w:bookmarkStart w:id="735" w:name="Tc_vLZBr4ceOku7SUFXN8m0EQ_30_3"/>
      <w:bookmarkStart w:id="736" w:name="Tc_rdS4ep9BLU-ek19G2ENlVw_30_0"/>
      <w:bookmarkStart w:id="737" w:name="Tc_IZEOGsRiukiD9cLoAtgX2g_29_3"/>
      <w:bookmarkStart w:id="738" w:name="Tc_UxE3c52-R0OZHu7USU5mfg_29_0"/>
      <w:bookmarkStart w:id="739" w:name="Tc_AQm7wdmv_E2fzEky2Bz-jg_28_0"/>
      <w:bookmarkStart w:id="740" w:name="Tc_f-tz82NO4kSy6Z46EU6mAw_27_0"/>
      <w:bookmarkStart w:id="741" w:name="Tc_4XwagQpLzUeWo5dWl7NE-w_26_0"/>
      <w:bookmarkStart w:id="742" w:name="Tc_iYOlb_U6bE6YZl0Xw3WleQ_25_0"/>
      <w:bookmarkStart w:id="743" w:name="Tc_27C1c9t-AEazTo-s_RGR7g_24_0"/>
      <w:bookmarkStart w:id="744" w:name="Tc_ijcakHm-1UuuJpk2xl9jXg_23_0"/>
      <w:bookmarkStart w:id="745" w:name="Tc_6afWGh3uEEO-BKD4xKvV1Q_22_0"/>
      <w:bookmarkStart w:id="746" w:name="Tc_QeDF50g5XEqkDgRUMLZFNQ_21_0"/>
      <w:bookmarkStart w:id="747" w:name="Tc_YjsX9rzA4kqx3DTuvbKZcw_20_0"/>
      <w:bookmarkStart w:id="748" w:name="Tc_B5eMPRRNckqKBA1sndGQZw_19_0"/>
      <w:bookmarkStart w:id="749" w:name="Tc_B4Aq4N7UNEiLS9rfddNsrA_18_0"/>
      <w:bookmarkStart w:id="750" w:name="Tc_YkhKinoAkEuUXMuZ1qeokA_17_0"/>
      <w:bookmarkStart w:id="751" w:name="Tc_dgZzAYapXUGQAUejoLMfeQ_16_0"/>
      <w:bookmarkStart w:id="752" w:name="Tc_owWLd2UXl0aTrrRxzX-1Xg_15_0"/>
      <w:bookmarkStart w:id="753" w:name="Tc_ANcs0EwkNEWeZbELarLWMg_14_3"/>
      <w:bookmarkStart w:id="754" w:name="Tc_whQTdd_eeEa6HEIs6o3jkw_14_0"/>
      <w:bookmarkStart w:id="755" w:name="Tc_z3Tp4AEUEUCamOjOpUikOQ_13_0"/>
      <w:bookmarkStart w:id="756" w:name="Tc_AEnV5-iMmk-oS7Apa0DenQ_12_3"/>
      <w:bookmarkStart w:id="757" w:name="Tc_ulJBVkv-gkGaJO9vCXyQkw_12_0"/>
      <w:bookmarkStart w:id="758" w:name="Tc_vZ9UOoaFv0y7RZJ8kq25-g_11_0"/>
      <w:bookmarkStart w:id="759" w:name="Tc_Nepn3V7BHEyiW5cneGl7Ww_10_0"/>
      <w:bookmarkStart w:id="760" w:name="Tc_g0FHXTBPlkerptBnjzJX1g_9_0"/>
      <w:bookmarkStart w:id="761" w:name="Tc_kLDOxYOCm0GRjxHN2NGz1w_8_0"/>
      <w:bookmarkStart w:id="762" w:name="Tc_wHKomTTD6U-TVZlI_YxzBw_7_0"/>
      <w:bookmarkStart w:id="763" w:name="Tc_ZNHryk8qJk6Vbr3EenqBEA_6_0"/>
      <w:bookmarkStart w:id="764" w:name="Tc_sT6bERQYoUuAX6ebVQcS0Q_5_0"/>
      <w:bookmarkStart w:id="765" w:name="Tc_pFxFHwKXjUuScarK6wbamA_4_5"/>
      <w:bookmarkStart w:id="766" w:name="Tc_jbnLCbl1PE-DcMVMA2dV6Q_4_2"/>
      <w:bookmarkStart w:id="767" w:name="Tc_VznyeqmZmU6nd-U2GYgRRw_4_0"/>
      <w:bookmarkStart w:id="768" w:name="Tc_v2llQvt6x0-GExfNGBI35w_3_0"/>
      <w:bookmarkStart w:id="769" w:name="Tc_UX9wprAwHkm44McsX3xxow_2_5"/>
      <w:bookmarkStart w:id="770" w:name="Tc_SLy0mdGbjE2zK8Pg2rMnIw_2_2"/>
      <w:bookmarkStart w:id="771" w:name="Tc_Xg4b_b9yH0eNH634BLDhEg_2_0"/>
      <w:bookmarkStart w:id="772" w:name="Tc_HrFf3JNdtUaJySMbcwvNkA_1_2"/>
      <w:bookmarkStart w:id="773" w:name="_cc0ddde7_3ec3_4d30_ad3b_180631efdede"/>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tbl>
      <w:tblPr>
        <w:tblW w:w="8362" w:type="dxa"/>
        <w:jc w:val="left"/>
        <w:tblInd w:w="0" w:type="dxa"/>
        <w:tblLayout w:type="fixed"/>
        <w:tblCellMar>
          <w:top w:w="0" w:type="dxa"/>
          <w:left w:w="0" w:type="dxa"/>
          <w:bottom w:w="0" w:type="dxa"/>
          <w:right w:w="0" w:type="dxa"/>
        </w:tblCellMar>
      </w:tblPr>
      <w:tblGrid>
        <w:gridCol w:w="6061"/>
        <w:gridCol w:w="346"/>
        <w:gridCol w:w="181"/>
        <w:gridCol w:w="601"/>
        <w:gridCol w:w="346"/>
        <w:gridCol w:w="181"/>
        <w:gridCol w:w="646"/>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48735" cy="175260"/>
                      <wp:effectExtent l="0" t="0" r="0" b="0"/>
                      <wp:wrapNone/>
                      <wp:docPr id="74" name="Frame73"/>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4935" cy="175260"/>
                      <wp:effectExtent l="0" t="0" r="0" b="0"/>
                      <wp:wrapNone/>
                      <wp:docPr id="76" name="Frame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1635" cy="175260"/>
                      <wp:effectExtent l="0" t="0" r="0" b="0"/>
                      <wp:wrapNone/>
                      <wp:docPr id="77" name="Frame7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79" name="Frame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10210" cy="175260"/>
                      <wp:effectExtent l="0" t="0" r="0" b="0"/>
                      <wp:wrapNone/>
                      <wp:docPr id="80" name="Frame7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(22,190)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(48,781)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 xml:space="preserve">Adjustments to reconcile net loss to net cash provided by (used in) operating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33,668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26,771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deferred financing fees included in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Write-off of unamortized deferred financing fees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disposal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on de-consolidation of Rwanda Trading Company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transactions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in (earnings) loss from unconsolidated entities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Change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12,154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34,544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(43,345)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(38,038)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(8,388)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 and other assets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(21,505)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10,931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 and other</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12,306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17,334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(29,073)</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(13,605)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(61,826)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intangible assets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equity method investments and non-marketable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 of equity method investments and non-marketable securities, inclusive of cash contributed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deferred purchase price of sold trade receivables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7,964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(5,329)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(64,002)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debt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(75,616)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(46,799)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debt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60,344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131,373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supply chain financing program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(96,804)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(79,847)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supply chain financing program</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97,742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99,309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proceeds from (repayments of) repurchase agreements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(7,285)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9,769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change in unremitted cash collections from servicing factored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(7,918)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for taxes for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(32,229)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109,887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 changes on cash</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increase (decrease) in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(22,664)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16,760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71,039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35,564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and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52,324</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acquired but not yet paid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6,307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10,259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Amounts obtained as beneficial interest in sold 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1,842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at June 30, 2026 and 2025 is as follows:</w:t>
      </w:r>
    </w:p>
    <w:p>
      <w:pPr>
        <w:pStyle w:val="Normal"/>
        <w:bidi w:val="0"/>
        <w:spacing w:before="0" w:after="0"/>
        <w:jc w:val="left"/>
        <w:rPr>
          <w:sz w:val="4"/>
          <w:szCs w:val="4"/>
        </w:rPr>
      </w:pPr>
      <w:r>
        <w:rPr>
          <w:sz w:val="4"/>
          <w:szCs w:val="4"/>
        </w:rPr>
      </w:r>
      <w:bookmarkStart w:id="774" w:name="Tc_TC1o_Blyok6NXbRjDFptSQ_4_5"/>
      <w:bookmarkStart w:id="775" w:name="Tc_6sOlKIR9DUuw_vQofPSiNw_4_2"/>
      <w:bookmarkStart w:id="776" w:name="Tc_UuQET7vMN0-bLOBOAwF_lw_4_0"/>
      <w:bookmarkStart w:id="777" w:name="Tc_GPt3xQLLu0G_rheOA5I3AQ_3_0"/>
      <w:bookmarkStart w:id="778" w:name="Tc_BdSyLC5q3kuY3Ruyltiawg_2_5"/>
      <w:bookmarkStart w:id="779" w:name="Tc_H1Asjyh9zk-3QvZ4XLmFng_2_2"/>
      <w:bookmarkStart w:id="780" w:name="Tc_22LCxHlNZkCTeGleaV2fcw_2_0"/>
      <w:bookmarkStart w:id="781" w:name="Tc_-tRu149kSE25rEl9yYrP1Q_1_5"/>
      <w:bookmarkStart w:id="782" w:name="Tc_heFcUKDTZkWMxSU5N1-jEQ_1_2"/>
      <w:bookmarkStart w:id="783" w:name="Tc_o7bkdMgo_Uu69tWb-gxxzQ_1_0"/>
      <w:bookmarkStart w:id="784" w:name="_3b84fd19_da09_4e3a_b8bd_3c997b1c0dd1"/>
      <w:bookmarkStart w:id="785" w:name="Tc_TC1o_Blyok6NXbRjDFptSQ_4_5"/>
      <w:bookmarkStart w:id="786" w:name="Tc_6sOlKIR9DUuw_vQofPSiNw_4_2"/>
      <w:bookmarkStart w:id="787" w:name="Tc_UuQET7vMN0-bLOBOAwF_lw_4_0"/>
      <w:bookmarkStart w:id="788" w:name="Tc_GPt3xQLLu0G_rheOA5I3AQ_3_0"/>
      <w:bookmarkStart w:id="789" w:name="Tc_BdSyLC5q3kuY3Ruyltiawg_2_5"/>
      <w:bookmarkStart w:id="790" w:name="Tc_H1Asjyh9zk-3QvZ4XLmFng_2_2"/>
      <w:bookmarkStart w:id="791" w:name="Tc_22LCxHlNZkCTeGleaV2fcw_2_0"/>
      <w:bookmarkStart w:id="792" w:name="Tc_-tRu149kSE25rEl9yYrP1Q_1_5"/>
      <w:bookmarkStart w:id="793" w:name="Tc_heFcUKDTZkWMxSU5N1-jEQ_1_2"/>
      <w:bookmarkStart w:id="794" w:name="Tc_o7bkdMgo_Uu69tWb-gxxzQ_1_0"/>
      <w:bookmarkStart w:id="795" w:name="_3b84fd19_da09_4e3a_b8bd_3c997b1c0dd1"/>
      <w:bookmarkEnd w:id="785"/>
      <w:bookmarkEnd w:id="786"/>
      <w:bookmarkEnd w:id="787"/>
      <w:bookmarkEnd w:id="788"/>
      <w:bookmarkEnd w:id="789"/>
      <w:bookmarkEnd w:id="790"/>
      <w:bookmarkEnd w:id="791"/>
      <w:bookmarkEnd w:id="792"/>
      <w:bookmarkEnd w:id="793"/>
      <w:bookmarkEnd w:id="794"/>
      <w:bookmarkEnd w:id="795"/>
    </w:p>
    <w:tbl>
      <w:tblPr>
        <w:tblW w:w="4490" w:type="dxa"/>
        <w:jc w:val="left"/>
        <w:tblInd w:w="0" w:type="dxa"/>
        <w:tblLayout w:type="fixed"/>
        <w:tblCellMar>
          <w:top w:w="0" w:type="dxa"/>
          <w:left w:w="0" w:type="dxa"/>
          <w:bottom w:w="0" w:type="dxa"/>
          <w:right w:w="0" w:type="dxa"/>
        </w:tblCellMar>
      </w:tblPr>
      <w:tblGrid>
        <w:gridCol w:w="1741"/>
        <w:gridCol w:w="346"/>
        <w:gridCol w:w="257"/>
        <w:gridCol w:w="749"/>
        <w:gridCol w:w="346"/>
        <w:gridCol w:w="238"/>
        <w:gridCol w:w="81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05535" cy="175260"/>
                      <wp:effectExtent l="0" t="0" r="0" b="0"/>
                      <wp:wrapNone/>
                      <wp:docPr id="81" name="Frame8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3195" cy="175260"/>
                      <wp:effectExtent l="0" t="0" r="0" b="0"/>
                      <wp:wrapNone/>
                      <wp:docPr id="83" name="Frame8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75615" cy="175260"/>
                      <wp:effectExtent l="0" t="0" r="0" b="0"/>
                      <wp:wrapNone/>
                      <wp:docPr id="84" name="Frame83"/>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130" cy="175260"/>
                      <wp:effectExtent l="0" t="0" r="0" b="0"/>
                      <wp:wrapNone/>
                      <wp:docPr id="86" name="Frame8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16255" cy="175260"/>
                      <wp:effectExtent l="0" t="0" r="0" b="0"/>
                      <wp:wrapNone/>
                      <wp:docPr id="87" name="Frame8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2026</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38,233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43,956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10,142</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8,368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48,375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52,324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6" w:name="_4108def9_7144_410f_91b0_75768f4687ef"/>
      <w:bookmarkEnd w:id="796"/>
      <w:r>
        <w:rPr>
          <w:rFonts w:ascii="Times New Roman;Times;serif" w:hAnsi="Times New Roman;Times;serif"/>
          <w:b/>
          <w:sz w:val="20"/>
        </w:rPr>
        <w:t>WESTROCK COFFEE COMPANY</w:t>
      </w:r>
    </w:p>
    <w:p>
      <w:pPr>
        <w:pStyle w:val="TextBody"/>
        <w:bidi w:val="0"/>
        <w:spacing w:before="0" w:after="0"/>
        <w:ind w:left="0" w:right="0" w:firstLine="720"/>
        <w:jc w:val="center"/>
        <w:rPr>
          <w:rFonts w:ascii="Times New Roman;Times;serif" w:hAnsi="Times New Roman;Times;serif"/>
          <w:b/>
          <w:sz w:val="20"/>
        </w:rPr>
      </w:pPr>
      <w:bookmarkStart w:id="797" w:name="NOTESTOCONDENSEDCONSOLIDATEDFINANCIALSTA"/>
      <w:bookmarkEnd w:id="797"/>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8" w:name="Notes"/>
      <w:bookmarkEnd w:id="798"/>
      <w:r>
        <w:rPr>
          <w:rFonts w:ascii="Times New Roman;Times;serif" w:hAnsi="Times New Roman;Times;serif"/>
          <w:b/>
          <w:sz w:val="20"/>
        </w:rPr>
        <w:t>Note 1. Organization and Description of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partners with brands across retail, foodservice, convenience, consumer packaged goods (“CPG”), and hospitality to bring beverage programs to market at scale. We manage our business in two operating segments.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pStyle w:val="TextBody"/>
        <w:bidi w:val="0"/>
        <w:spacing w:before="0" w:after="240"/>
        <w:ind w:left="0" w:right="0" w:hanging="0"/>
        <w:jc w:val="left"/>
        <w:rPr>
          <w:rFonts w:ascii="Times New Roman;Times;serif" w:hAnsi="Times New Roman;Times;serif"/>
          <w:b/>
          <w:sz w:val="20"/>
        </w:rPr>
      </w:pPr>
      <w:bookmarkStart w:id="799" w:name="Note2BasisofPresentationandConsolidation"/>
      <w:bookmarkEnd w:id="799"/>
      <w:r>
        <w:rPr>
          <w:rFonts w:ascii="Times New Roman;Times;serif" w:hAnsi="Times New Roman;Times;serif"/>
          <w:b/>
          <w:sz w:val="20"/>
        </w:rPr>
        <w:t>Note 2. Basis of Presentation and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2025 was derived from the audited financial statements, but does not include all disclosures required by GAAP.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interim financial information is unaudited but, in the opinion of management, all adjustments (consisting of normal recurring accruals) considered necessary for a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2025 consolidated financial statements and notes thereto included in our Annual Report on Form 10-K filed with the U.S. Securities and Exchange Commission (“SEC”) on March 10, 2026. Accordingly, certain significant accounting policies and other disclosures normally provided have been omitted from the accompanying Condensed Consolidated Financial Statements and related notes since such items are disclosed in our 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reclassifications of prior years’ amounts have been made to conform with the current period financial statements presentation, and the accompanying notes thereto. These reclassifications had no effect on previously reported total assets, total liabilities, shareholders’ equity (deficit), net income (loss) or cash flows. On April 20, 2026, the Company appointed A. Wellford Tabor to its Board of Directors. Mr. Tabor </w:t>
      </w:r>
      <w:r>
        <w:rPr>
          <w:rFonts w:ascii="Times New Roman;Times;serif" w:hAnsi="Times New Roman;Times;serif"/>
          <w:sz w:val="20"/>
          <w:shd w:fill="FFFFFF" w:val="clear"/>
        </w:rPr>
        <w:t xml:space="preserve">is Head of Direct Investments and a Managing Director of HF Capital, LLC, the managing member of HF Direct Investments Pool, LLC, a greater than 10% holder of the Company’s outstanding common stock. Mr. Tabor owns $2.0 million of the Company’s 5.00% convertible senior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notes due 2029 and $2.0 million of the Company’s 5.00% convertible senior notes due 2031</w:t>
      </w:r>
      <w:r>
        <w:rPr>
          <w:rFonts w:ascii="Times New Roman;Times;serif" w:hAnsi="Times New Roman;Times;serif"/>
          <w:sz w:val="20"/>
        </w:rPr>
        <w:t>. As a result of this appointment, transactions with Mr. Tabor are now classified as related party transactions. To provide comparable presentation, the Company has reclassified $3.9 million of long-term debt, net to convertible notes payable – related party, net in the Condensed Consolidated Balance Sheet as of December 31, 2025. In addition, the Company has updated the footnote disclosures in Notes 10 and 19 to include transactions with Mr. Tabor as of December 31, 2025 and for the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0" w:name="Note3SummaryofSignificantAccountingPolic"/>
      <w:bookmarkEnd w:id="800"/>
      <w:r>
        <w:rPr>
          <w:rFonts w:ascii="Times New Roman;Times;serif" w:hAnsi="Times New Roman;Times;serif"/>
          <w:b/>
          <w:sz w:val="20"/>
        </w:rPr>
        <w:t>Note 3. Summary of Significant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Estimates </w:t>
      </w:r>
    </w:p>
    <w:p>
      <w:pPr>
        <w:pStyle w:val="TextBody"/>
        <w:bidi w:val="0"/>
        <w:spacing w:before="24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Going Concern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Accounting Standards Update (“ASU”) 2014-15, </w:t>
      </w:r>
      <w:r>
        <w:rPr>
          <w:rFonts w:ascii="Times New Roman;Times;serif" w:hAnsi="Times New Roman;Times;serif"/>
          <w:i/>
          <w:sz w:val="20"/>
        </w:rPr>
        <w:t>Disclosure of Uncertainties about an Entity’s Ability to Continue as a Going Concern (Subtopic 205-40)</w:t>
      </w:r>
      <w:r>
        <w:rPr>
          <w:rFonts w:ascii="Times New Roman;Times;serif" w:hAnsi="Times New Roman;Times;serif"/>
          <w:sz w:val="20"/>
        </w:rPr>
        <w:t xml:space="preserve">, the Company has the responsibility to evaluate whether conditions 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and to maintain covenant compliance for at least the next twelve months. However, during the six months ended June 30, 2026, the Company incurred net losses of $22.2 million. If we are unable to achieve our profitability growth projections and maintain our covenant leverage ratio and interest coverage requirements, as a result of, for example, experiencing any adverse impact of changes or further delays in the estimated timing and/or volume of products to be produced in our Conway Facility over the next twelve months, and generate sufficient cash flows from operations, it may restrict our liquidity and capital resources and our ability to maintain compliance with our financial covenants.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assuming that the Company will continue as a going concern, which contemplates the realization of assets and satisfaction of liabilities in the ordinary course of business.</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Accounts Receivable and Allowance for Credit Losses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receivable consist principally of amounts billed and currently due from customers and are generally unsecured and due within 30 to 60 days. A portion of our accounts receivable is not expected to be collected due to non-payment, bankruptcies or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01" w:name="Tc_0gcagTlfIkmKKvs1TDxevA_6_11"/>
      <w:bookmarkStart w:id="802" w:name="Tc_u1ysOkRzr02X7Yc1Q2FJQA_6_8"/>
      <w:bookmarkStart w:id="803" w:name="Tc_lEZld3IdRUWZzZIDVQJIKA_6_5"/>
      <w:bookmarkStart w:id="804" w:name="Tc_JMg5JqH1BEWM9UfZ8h4HKw_6_2"/>
      <w:bookmarkStart w:id="805" w:name="Tc_YwY6lx6W6kqL-JDWiMt95g_6_0"/>
      <w:bookmarkStart w:id="806" w:name="Tc_w6dmYdp0yUqeq91hBaAVCA_5_0"/>
      <w:bookmarkStart w:id="807" w:name="Tc_hxAIhJwkR0mBqCUbAoAifw_4_0"/>
      <w:bookmarkStart w:id="808" w:name="Tc_mnpYFqJee06AqETT0bzlCQ_3_11"/>
      <w:bookmarkStart w:id="809" w:name="Tc_v86ItUcDf0yWSr5A9E4yRA_3_8"/>
      <w:bookmarkStart w:id="810" w:name="Tc_GLeOuuimSU-83YuJGEzGFg_3_5"/>
      <w:bookmarkStart w:id="811" w:name="Tc_fCVVFC2TvkiaVkv4i7vcOQ_3_2"/>
      <w:bookmarkStart w:id="812" w:name="Tc_UIe7Y9udSEacdT2DtBHRBg_3_0"/>
      <w:bookmarkStart w:id="813" w:name="Tc_dVkolR_Rkk-6DfnrlyEsKg_2_11"/>
      <w:bookmarkStart w:id="814" w:name="Tc_hP5jNgoWZk6OhwhV-D7Nbw_2_8"/>
      <w:bookmarkStart w:id="815" w:name="Tc_A8c8NFbQ7k2UNFSk6C-OwQ_2_5"/>
      <w:bookmarkStart w:id="816" w:name="Tc_SNGY8vODQU2hJX9H0aN19A_2_2"/>
      <w:bookmarkStart w:id="817" w:name="Tc_lyINVGZTDEqvKNbXbnuQCA_2_0"/>
      <w:bookmarkStart w:id="818" w:name="Tc_7J-ZAuIRBE6ZwqWsoXtWVQ_1_8"/>
      <w:bookmarkStart w:id="819" w:name="Tc_Mml_IrV6LkKD_5epkOvcBQ_1_2"/>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sz w:val="20"/>
        </w:rPr>
        <w:t>Activity in the allowance for credit losses was as follows:</w:t>
      </w:r>
    </w:p>
    <w:p>
      <w:pPr>
        <w:pStyle w:val="TextBody"/>
        <w:bidi w:val="0"/>
        <w:spacing w:before="0" w:after="0"/>
        <w:ind w:left="0" w:right="0" w:hanging="0"/>
        <w:jc w:val="left"/>
        <w:rPr/>
      </w:pPr>
      <w:r>
        <w:rPr/>
        <w:t>​</w:t>
      </w:r>
    </w:p>
    <w:tbl>
      <w:tblPr>
        <w:tblW w:w="9734" w:type="dxa"/>
        <w:jc w:val="left"/>
        <w:tblInd w:w="0" w:type="dxa"/>
        <w:tblLayout w:type="fixed"/>
        <w:tblCellMar>
          <w:top w:w="0" w:type="dxa"/>
          <w:left w:w="0" w:type="dxa"/>
          <w:bottom w:w="0" w:type="dxa"/>
          <w:right w:w="0" w:type="dxa"/>
        </w:tblCellMar>
      </w:tblPr>
      <w:tblGrid>
        <w:gridCol w:w="4576"/>
        <w:gridCol w:w="346"/>
        <w:gridCol w:w="255"/>
        <w:gridCol w:w="690"/>
        <w:gridCol w:w="418"/>
        <w:gridCol w:w="255"/>
        <w:gridCol w:w="690"/>
        <w:gridCol w:w="346"/>
        <w:gridCol w:w="219"/>
        <w:gridCol w:w="594"/>
        <w:gridCol w:w="360"/>
        <w:gridCol w:w="219"/>
        <w:gridCol w:w="766"/>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905760" cy="175260"/>
                      <wp:effectExtent l="0" t="0" r="0" b="0"/>
                      <wp:wrapNone/>
                      <wp:docPr id="88" name="Frame87"/>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1925" cy="175260"/>
                      <wp:effectExtent l="0" t="0" r="0" b="0"/>
                      <wp:wrapNone/>
                      <wp:docPr id="90" name="Frame8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8150" cy="175260"/>
                      <wp:effectExtent l="0" t="0" r="0" b="0"/>
                      <wp:wrapNone/>
                      <wp:docPr id="91" name="Frame9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65430" cy="175260"/>
                      <wp:effectExtent l="0" t="0" r="0" b="0"/>
                      <wp:wrapNone/>
                      <wp:docPr id="92" name="Frame9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1925" cy="175260"/>
                      <wp:effectExtent l="0" t="0" r="0" b="0"/>
                      <wp:wrapNone/>
                      <wp:docPr id="93" name="Frame9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150" cy="175260"/>
                      <wp:effectExtent l="0" t="0" r="0" b="0"/>
                      <wp:wrapNone/>
                      <wp:docPr id="94" name="Frame9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9065" cy="175260"/>
                      <wp:effectExtent l="0" t="0" r="0" b="0"/>
                      <wp:wrapNone/>
                      <wp:docPr id="96" name="Frame9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77190" cy="175260"/>
                      <wp:effectExtent l="0" t="0" r="0" b="0"/>
                      <wp:wrapNone/>
                      <wp:docPr id="97" name="Frame96"/>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8600" cy="175260"/>
                      <wp:effectExtent l="0" t="0" r="0" b="0"/>
                      <wp:wrapNone/>
                      <wp:docPr id="98" name="Frame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9065" cy="175260"/>
                      <wp:effectExtent l="0" t="0" r="0" b="0"/>
                      <wp:wrapNone/>
                      <wp:docPr id="99" name="Frame9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86410" cy="175260"/>
                      <wp:effectExtent l="0" t="0" r="0" b="0"/>
                      <wp:wrapNone/>
                      <wp:docPr id="100" name="Frame9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5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0" w:type="dxa"/>
            <w:tcBorders/>
            <w:vAlign w:val="center"/>
          </w:tcPr>
          <w:p>
            <w:pPr>
              <w:pStyle w:val="TableContents"/>
              <w:bidi w:val="0"/>
              <w:spacing w:before="0" w:after="1"/>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3,181</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Charged to selling, general and administrative expense</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418"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w:t>
            </w:r>
          </w:p>
        </w:tc>
        <w:tc>
          <w:tcPr>
            <w:tcW w:w="360"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 net</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3,217</w:t>
            </w:r>
          </w:p>
        </w:tc>
        <w:tc>
          <w:tcPr>
            <w:tcW w:w="418"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3,217</w:t>
            </w:r>
          </w:p>
        </w:tc>
        <w:tc>
          <w:tcPr>
            <w:tcW w:w="360"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1,524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Times;serif" w:hAnsi="Times New Roman;Times;serif"/>
          <w:i/>
          <w:sz w:val="20"/>
        </w:rPr>
        <w:t xml:space="preserve">Transfers and Servicing </w:t>
      </w:r>
      <w:r>
        <w:rPr>
          <w:rFonts w:ascii="Times New Roman;Times;serif" w:hAnsi="Times New Roman;Times;serif"/>
          <w:sz w:val="20"/>
        </w:rPr>
        <w:t>(“ASC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2026, the Company received cash proceeds of $152.4 million related to the sale of receivables under the Factoring Agreement, remitted approximately $159.3 million of customer payments to the Factor, and incurred approximately $0.8 million of fees associated with these sales, which are recorded within selling, general and administrative expense on the Condensed Consolidated Statements of Operations. At June 30, 2026 and December 31, 2025, the Company held $5.8 million and $13.8 million, respectively, of customer payments that have yet to be remitted to the Factor, which is recorded within restricted cash on the Condensed Consolidated Balance Sheets. At June 30, 2026 and December 31, 2025, there was $1.3 million and $1.2 million, respectively, of Deferred Purchase Price (as defined in the Factoring Agreement) on the sold receivables, recorded within prepaid expenses and other current assets on the Condensed Consolidated Balance Sheets. Cash received from the initial sale of receivables under the Factoring Agreement is classified within operating activities, and cash received from any Deferred Purchase Price is classified within investing activities in the Condensed Consolidated Statements of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Inventories are stated at the lower of cost, determined on the average cost method, or net realizable value. Finished goods and work-in-process include the inventory costs of raw materials, direct labor and manufacturing overhead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Within our Sustainable Sourcing &amp; Traceability (“SS&amp;T”) segment, green coffee associated with our forward contracts is recorded at net realizable value, which approximates market price, consistent with our forward purchase contracts recorded at fair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six months ended June 30, 2026, we recognized $3.0 million and $2.3 million of net unrealized gains, respectively, on green coffee inventory associated with our forward sales and purchase contracts. For the three and six months ended June 30, 2025, we recognized $9.2 million and $10.7 million of net unrealized losses, respectively, on green coffee inventory associated with our forward sales and purchase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Supply Chain Finance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June 30, 2026 and December 31, 2025, there were $97.5 million and $96.6 million of obligations outstanding under the Program,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Green Coffee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June 30, 2026 and December 31, 2025, the Company had a right, or obligation, to repurchase $3.5 million and $11.8 million, respectively, of green coffee from the financing provider. The liability for Repo Transactions is recorded within accrued expenses and other current liabilities on the Company’s Condensed Consolidated Balance Sheets. Cash flows related to Repo Transactions are reported as financing activities in our Condensed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Method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 2025, the Company entered into an agreement with ECOM that combined Westrock’s and ECOM’s Rwandan export operations. As of June 30, 2026, Westrock holds a 49.9% equity method investment in the joint venture with a balance of $10.0 million, which is reported in other long-term assets on the Condensed Consolidated Balance Sheets. As of December 31, 2025, Westrock’s balance in the joint venture was $6.5 million. Our proportionate share of the income or loss of the joint venture is reported in equity in (earnings) loss from unconsolidated entities on the Condensed Consolidated Statements of Operations and is reported in the results of our SS&amp;T segment.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effective income tax rates for the six months ended June 30, 2026 and 2025 were (7.6)% and (3.1)%, respectively.  The Company’s effective tax rate for the current period differs from the federal statutory rate primarily due to the effect of cross-border tax laws (specifically, net controlled foreign corporation tested income) and an increase in the valuation allowance against domestic deferred tax assets.  The effective tax rate for the six months ended June 30, 2026 differs from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tax rate for the same period in 2025 primarily due to the size of the Company's ordinary income (loss) in the periods relative to rate impacting items.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4, 2025, the One Big Beautiful Bill Act (the “Act”) was signed into law in the United States. The Act contains several provisions related to income taxes, including the extension of many expiring provisions from the Tax Cuts and Jobs Act of 2017, modifications to the international tax framework, and restoration of the favorable tax treatment for certain business provisions, including the interest limitation under Section 163(j). The legislation has multiple effective dates, with certain provisions that went into effect in 2025 and others that will be implemented through 2026. The effects of the Act were incorporated into our income tax provision for the three and six months ended June 30, 2026, and there was no material impact. We will continue to evaluate the impacts of the Act and do not expect the Act to have a material impact to our total tax provision.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2025-06 – Targeted Improvements to the Accounting for Internal-Use Software (Subtopic 350-40)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18, 2025, the Financial Accounting Standards Board (“FASB”) issued ASU No. 2025-06 “Targeted Improvements to the Accounting for Internal-Use Software (Subtopic 350-40)” (“ASU 2025-06”). ASU 2025-06 removes references to prescriptive and sequential development stages, requiring companies to capitalize internal-use software costs when management commits to funding the software project and it is probable the project will be completed. ASU 2025-06 will be effective for annual and interim periods beginning after December 15, 2027, and can be applied on a prospective, modified prospective, or retrospective basis. During the quarter ended June 30, 2026 the Company elected to early adopt ASU 2025-06 and applied the amendment to the beginning of the annual reporting period, January 1, 2026. The Company elected to apply the amendments prospectively to eligible software costs incurred on or after the adoption date, including costs incurred for in-process projects. The adoption of this guidance did not have a material impact on our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2024-03 – Income Statement – Reporting Comprehensive Income (Topic 220): Expense Disaggregation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(Topic 220): Expense Disaggregation Disclosures” (“ASU 2024-03”).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pStyle w:val="TextBody"/>
        <w:bidi w:val="0"/>
        <w:spacing w:before="0" w:after="240"/>
        <w:ind w:left="0" w:right="0" w:hanging="0"/>
        <w:jc w:val="left"/>
        <w:rPr>
          <w:rFonts w:ascii="Times New Roman;Times;serif" w:hAnsi="Times New Roman;Times;serif"/>
          <w:b/>
          <w:sz w:val="20"/>
        </w:rPr>
      </w:pPr>
      <w:bookmarkStart w:id="820" w:name="Note5Revenue_380696"/>
      <w:bookmarkEnd w:id="820"/>
      <w:r>
        <w:rPr>
          <w:rFonts w:ascii="Times New Roman;Times;serif" w:hAnsi="Times New Roman;Times;serif"/>
          <w:b/>
          <w:sz w:val="20"/>
        </w:rPr>
        <w:t>Note 4.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Contracts with Customers (ASC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all our client contracts require that we be compensated for services performed to date. This is upon completion of production,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costs of sales taxes assessed by governmental authorities on revenue-producing transactions. Although we occasionally accept returns of products from our customers, historically returns have not been material.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Forward Contracts (ASC 815)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costs of sales on our Condensed Consolidated Statements of Operations. For the three and six months ended June 30, 2026, we recorded $3.5 million of net unrealized losses and $2.3 million of net unrealized gains, respectively, within costs of sales. For the three and six months ended June 30, 2025, we recorded $10.6 million and $14.2 million of net unrealized gains, respectively, within costs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the Company recognized $61.8 million and $131.3 million in revenues under ASC 815, respectively, and for the three and six months ended June 30, 2025, the Company recognized $72.4 million and $122.0 million in revenues under ASC 815, respectively, which are reported within the Company’s SS&amp;T segment.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nature of the Company’s contracts gives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$2.0 million and $1.4 million at June 30, 2026 and December 31, 2025, respectively. Other accrued deductions were $1.7 million and $1.4 million at June 30, 2026 and December 31, 2025, respectively, and are included as a reduction to accounts receivable, net in the Condensed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balances relate primarily to advances received from the Company’s customers before revenue is recognized. The Company did not have any material contract liabilities as of June 30, 2026 or December 31, 2025. Revenue recognized during the three and six months ended June 30, 2026, that was included in the contract liabilities balance as of December 31, 2025, was not material. Receivables from contracts with customers are included in accounts receivable, net on the Company’s Condensed Consolidated Balance Sheets. At June 30, 2026 and December 31, 2025, accounts receivable, net included $80.0 million and $97.0 million in receivables from contracts with customers,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21" w:name="Tc_HwS-AM10sEyYH4j3To351Q_5_11"/>
      <w:bookmarkStart w:id="822" w:name="Tc_A6tr2OYn3U2DP5OPf1dxng_5_8"/>
      <w:bookmarkStart w:id="823" w:name="Tc_4aryc00B8EKziuWQOvF6nw_5_5"/>
      <w:bookmarkStart w:id="824" w:name="Tc_JQes-VfGKkmkRifpbmTyQA_5_2"/>
      <w:bookmarkStart w:id="825" w:name="Tc_8NXWFCYpu0u5HOdRi3dagA_5_0"/>
      <w:bookmarkStart w:id="826" w:name="Tc_IwllfS0ZUE6h3GsE18GM0A_4_0"/>
      <w:bookmarkStart w:id="827" w:name="Tc_wpzcTRhQwkiE2xQiW1q2dA_3_11"/>
      <w:bookmarkStart w:id="828" w:name="Tc_WSHEKkI0hEGwuhWOa3lEgA_3_8"/>
      <w:bookmarkStart w:id="829" w:name="Tc_uoAMY1cQA0mjHV3TO7YMlw_3_5"/>
      <w:bookmarkStart w:id="830" w:name="Tc_UpNQ0Jr0OUaEI0MLJi6Xlg_3_2"/>
      <w:bookmarkStart w:id="831" w:name="Tc_E4Q-2YKGvEyERbIHCJLHuA_3_0"/>
      <w:bookmarkStart w:id="832" w:name="Tc_cjVxaH5Pw022onRPmNvUwA_2_11"/>
      <w:bookmarkStart w:id="833" w:name="Tc_UaO0CBwp_UmRAWd9Otp-_w_2_8"/>
      <w:bookmarkStart w:id="834" w:name="Tc_O9iTua7gd0-_P2DS1h4UVQ_2_5"/>
      <w:bookmarkStart w:id="835" w:name="Tc_kSmbdAvF6UKp01adfEWndw_2_2"/>
      <w:bookmarkStart w:id="836" w:name="Tc_b7qWOeoDVUCqc4-z2O-6pg_2_0"/>
      <w:bookmarkStart w:id="837" w:name="Tc_hoLaBzhi-Euqe3yiS7Tkzw_1_8"/>
      <w:bookmarkStart w:id="838" w:name="Tc_lFoVQcssn0i_Z6I73VcctQ_1_2"/>
      <w:bookmarkStart w:id="839" w:name="_fba07dad_04be_4dd3_85ba_0e942ee81250"/>
      <w:bookmarkStart w:id="840" w:name="Tc_vQYSHON1NEK7rAzE2Rxjxw_7_11"/>
      <w:bookmarkStart w:id="841" w:name="Tc_2wSHj_U68EKpgcKxZvLWLQ_7_8"/>
      <w:bookmarkStart w:id="842" w:name="Tc_N_euBxRFD0GqOGbdAMgtYg_7_5"/>
      <w:bookmarkStart w:id="843" w:name="Tc_NKnsegxV5U6YfxYcXaBymg_7_2"/>
      <w:bookmarkStart w:id="844" w:name="Tc_TayH4FGfNky0f9eoPt10aA_7_0"/>
      <w:bookmarkStart w:id="845" w:name="Tc_NEp6qaW1WEiziIk-q1yfyw_6_0"/>
      <w:bookmarkStart w:id="846" w:name="Tc_vdyUdeFSo0Ol1UpRyorFEw_5_0"/>
      <w:bookmarkStart w:id="847" w:name="Tc_-ggiUaZoPU6hQ1GHjCiCmw_4_0"/>
      <w:bookmarkStart w:id="848" w:name="Tc_dPs5NhW1VEGrPR_1hMIthw_3_11"/>
      <w:bookmarkStart w:id="849" w:name="Tc_izy97spYcUanaIUGQch_dA_3_8"/>
      <w:bookmarkStart w:id="850" w:name="Tc_2u3exsXhU0mw7N_F28Qp_Q_3_5"/>
      <w:bookmarkStart w:id="851" w:name="Tc_orKh2e91u0Wq7rR-94i7GQ_3_2"/>
      <w:bookmarkStart w:id="852" w:name="Tc_Ce913KqdwU-l1cC9uo3uxA_3_0"/>
      <w:bookmarkStart w:id="853" w:name="Tc_EUer6sa_D0eLK7mKDLXXbg_2_11"/>
      <w:bookmarkStart w:id="854" w:name="Tc_5RxZ1QBf5kCtPH4HguRrzg_2_8"/>
      <w:bookmarkStart w:id="855" w:name="Tc_qpcRRdz-BUebGQkj0vE6CQ_2_5"/>
      <w:bookmarkStart w:id="856" w:name="Tc_aAXzc41RWUKbouynJOu3DQ_2_2"/>
      <w:bookmarkStart w:id="857" w:name="Tc_goHM_mU5fEGl-5dqymjHcQ_2_0"/>
      <w:bookmarkStart w:id="858" w:name="Tc_wHbV06DMD0Cm_Nt9vntSlw_1_8"/>
      <w:bookmarkStart w:id="859" w:name="Tc_JkJgcrTJikW5p3cUrKnsXA_1_2"/>
      <w:bookmarkStart w:id="860" w:name="_187e24a3_a1d8_4937_92d1_5d93d07e30c7"/>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sz w:val="20"/>
        </w:rPr>
        <w:t>Contract acquisition costs for obtaining contracts that are deemed recoverable are capitalized as contract costs. Such costs result from the payment of sales incentives and are amortized over the contract life. As of June 30, 2026 and December 31, 2025, no costs were capitalized as all arrangements were less than a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Disaggregated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the Company’s business segmentation is aligned according to the nature and economic characteristics of its products and customer relationships and provides meaningful disaggregation of each business segment’s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disaggregation of revenues from sales to external customers by type and geographic area, based on customer location, for the periods indicated is as follows:</w:t>
      </w:r>
    </w:p>
    <w:p>
      <w:pPr>
        <w:pStyle w:val="TextBody"/>
        <w:bidi w:val="0"/>
        <w:spacing w:before="0" w:after="0"/>
        <w:ind w:left="0" w:right="0" w:hanging="0"/>
        <w:jc w:val="left"/>
        <w:rPr/>
      </w:pPr>
      <w:r>
        <w:rPr/>
        <w:t>​</w:t>
      </w:r>
    </w:p>
    <w:tbl>
      <w:tblPr>
        <w:tblW w:w="8053" w:type="dxa"/>
        <w:jc w:val="left"/>
        <w:tblInd w:w="0" w:type="dxa"/>
        <w:tblLayout w:type="fixed"/>
        <w:tblCellMar>
          <w:top w:w="0" w:type="dxa"/>
          <w:left w:w="0" w:type="dxa"/>
          <w:bottom w:w="0" w:type="dxa"/>
          <w:right w:w="0" w:type="dxa"/>
        </w:tblCellMar>
      </w:tblPr>
      <w:tblGrid>
        <w:gridCol w:w="2596"/>
        <w:gridCol w:w="346"/>
        <w:gridCol w:w="211"/>
        <w:gridCol w:w="781"/>
        <w:gridCol w:w="346"/>
        <w:gridCol w:w="211"/>
        <w:gridCol w:w="781"/>
        <w:gridCol w:w="346"/>
        <w:gridCol w:w="211"/>
        <w:gridCol w:w="781"/>
        <w:gridCol w:w="346"/>
        <w:gridCol w:w="211"/>
        <w:gridCol w:w="8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48460" cy="175260"/>
                      <wp:effectExtent l="0" t="0" r="0" b="0"/>
                      <wp:wrapNone/>
                      <wp:docPr id="101" name="Frame10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62610" cy="175260"/>
                      <wp:effectExtent l="0" t="0" r="0" b="0"/>
                      <wp:wrapNone/>
                      <wp:docPr id="113" name="Frame1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&amp; tea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274,633</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Flavors, extracts &amp; ingredients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97,229</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121,762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494,655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093" w:type="dxa"/>
        <w:jc w:val="left"/>
        <w:tblInd w:w="0" w:type="dxa"/>
        <w:tblLayout w:type="fixed"/>
        <w:tblCellMar>
          <w:top w:w="0" w:type="dxa"/>
          <w:left w:w="0" w:type="dxa"/>
          <w:bottom w:w="0" w:type="dxa"/>
          <w:right w:w="0" w:type="dxa"/>
        </w:tblCellMar>
      </w:tblPr>
      <w:tblGrid>
        <w:gridCol w:w="1636"/>
        <w:gridCol w:w="346"/>
        <w:gridCol w:w="211"/>
        <w:gridCol w:w="781"/>
        <w:gridCol w:w="346"/>
        <w:gridCol w:w="211"/>
        <w:gridCol w:w="781"/>
        <w:gridCol w:w="346"/>
        <w:gridCol w:w="211"/>
        <w:gridCol w:w="781"/>
        <w:gridCol w:w="346"/>
        <w:gridCol w:w="211"/>
        <w:gridCol w:w="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38860" cy="175260"/>
                      <wp:effectExtent l="0" t="0" r="0" b="0"/>
                      <wp:wrapNone/>
                      <wp:docPr id="114" name="Frame11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2610" cy="175260"/>
                      <wp:effectExtent l="0" t="0" r="0" b="0"/>
                      <wp:wrapNone/>
                      <wp:docPr id="126" name="Frame1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6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385,485</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109,170</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494,655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and 2025, other than the United States, no country accounted for more than 10 percent of our consolidated net sales.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1" w:name="Tc_B9m8Beg8f0Cia529Xawq8A_5_5"/>
      <w:bookmarkStart w:id="862" w:name="Tc_jC2XJa2w7EWxH88qnoAUdA_5_2"/>
      <w:bookmarkStart w:id="863" w:name="Tc_HhbWEuVoH0iCB8SYab36KA_5_0"/>
      <w:bookmarkStart w:id="864" w:name="Tc_4w3wnc5MEkiz7xzfbRygfw_4_0"/>
      <w:bookmarkStart w:id="865" w:name="Tc_Jtm4OMLYB0mp9KxSyOb9Pg_3_0"/>
      <w:bookmarkStart w:id="866" w:name="Tc_qB50JiHt902Xg8F0SkUsyQ_2_5"/>
      <w:bookmarkStart w:id="867" w:name="Tc_GDU_nd68ZkGUSwYARGvn0g_2_2"/>
      <w:bookmarkStart w:id="868" w:name="Tc_gIChRp5OVkiQrQTCpPgIfQ_2_0"/>
      <w:bookmarkStart w:id="869" w:name="Tc_SSk8TKqWyU2jFdYzPBCzZQ_1_5"/>
      <w:bookmarkStart w:id="870" w:name="Tc_bvkdxHItF0miJQkEwrAlDA_1_2"/>
      <w:bookmarkStart w:id="871" w:name="Tc_Jf24mwbm4kO4mYM1p69oCg_1_0"/>
      <w:bookmarkStart w:id="872" w:name="Note6Inventories_518642"/>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Note 5. Inventories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inventories as of June 30, 2026 and December 31, 2025:</w:t>
      </w:r>
    </w:p>
    <w:p>
      <w:pPr>
        <w:pStyle w:val="TextBody"/>
        <w:bidi w:val="0"/>
        <w:spacing w:before="0" w:after="0"/>
        <w:ind w:left="0" w:right="0" w:hanging="0"/>
        <w:jc w:val="left"/>
        <w:rPr/>
      </w:pPr>
      <w:r>
        <w:rPr/>
        <w:t>​</w:t>
      </w:r>
    </w:p>
    <w:tbl>
      <w:tblPr>
        <w:tblW w:w="4880" w:type="dxa"/>
        <w:jc w:val="left"/>
        <w:tblInd w:w="0" w:type="dxa"/>
        <w:tblLayout w:type="fixed"/>
        <w:tblCellMar>
          <w:top w:w="0" w:type="dxa"/>
          <w:left w:w="0" w:type="dxa"/>
          <w:bottom w:w="0" w:type="dxa"/>
          <w:right w:w="0" w:type="dxa"/>
        </w:tblCellMar>
      </w:tblPr>
      <w:tblGrid>
        <w:gridCol w:w="1516"/>
        <w:gridCol w:w="346"/>
        <w:gridCol w:w="239"/>
        <w:gridCol w:w="887"/>
        <w:gridCol w:w="34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62660" cy="175260"/>
                      <wp:effectExtent l="0" t="0" r="0" b="0"/>
                      <wp:wrapNone/>
                      <wp:docPr id="127" name="Frame12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1765" cy="175260"/>
                      <wp:effectExtent l="0" t="0" r="0" b="0"/>
                      <wp:wrapNone/>
                      <wp:docPr id="129" name="Frame12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63245" cy="175260"/>
                      <wp:effectExtent l="0" t="0" r="0" b="0"/>
                      <wp:wrapNone/>
                      <wp:docPr id="130" name="Frame12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8595" cy="175260"/>
                      <wp:effectExtent l="0" t="0" r="0" b="0"/>
                      <wp:wrapNone/>
                      <wp:docPr id="132" name="Frame13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93115" cy="175260"/>
                      <wp:effectExtent l="0" t="0" r="0" b="0"/>
                      <wp:wrapNone/>
                      <wp:docPr id="133" name="Frame13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86,231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43,273</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66,777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75,335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167,522</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199,802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Green coffee inventories represent green coffee held for resale. At June 30, 2026 and December 31, 2025, all green coffee held for resale was included within our Sustainable Sourcing &amp; Traceability segment.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3" w:name="Tc_oiFhcdMO50K6YOocwpyhxA_14_7"/>
      <w:bookmarkStart w:id="874" w:name="Tc_Hn43uEjgT06O7rn2L_4XWg_14_4"/>
      <w:bookmarkStart w:id="875" w:name="Tc_EsBjHgqkH0ejdDNQ-st-Hg_14_0"/>
      <w:bookmarkStart w:id="876" w:name="Tc_oasTbuF7VUGHMLpMpPeA0Q_13_0"/>
      <w:bookmarkStart w:id="877" w:name="Tc_TAgo-FjFnUy3PuKcfWpNZA_11_0"/>
      <w:bookmarkStart w:id="878" w:name="Tc_l1KfGo54WkCpvqj5ss6-8Q_10_0"/>
      <w:bookmarkStart w:id="879" w:name="Tc_JXX2O84FnU-QAtnGuIQ7eQ_9_2"/>
      <w:bookmarkStart w:id="880" w:name="Tc_akXpLc3zLk-oAUTCxgkyeA_9_0"/>
      <w:bookmarkStart w:id="881" w:name="Tc_7_aLCAzc3EiLyLTqES6dJg_8_2"/>
      <w:bookmarkStart w:id="882" w:name="Tc_iX5MrOgz3UioQRa89EAd6w_8_0"/>
      <w:bookmarkStart w:id="883" w:name="Tc_JApIvWiKuU6RWA2O2Eg4bg_7_2"/>
      <w:bookmarkStart w:id="884" w:name="Tc_igBPeIL9NU2dJ_rhykiL6A_7_0"/>
      <w:bookmarkStart w:id="885" w:name="Tc_C4jg1M4Is0qPQpONOK3_HA_6_2"/>
      <w:bookmarkStart w:id="886" w:name="Tc_Bs2OVyLDcEmEk5Zc9FwQgA_6_0"/>
      <w:bookmarkStart w:id="887" w:name="Tc_4D53sEq8-EWCoXNC7JkA_g_5_2"/>
      <w:bookmarkStart w:id="888" w:name="Tc_2-ACM6keSUyekgh2i7CeVw_5_0"/>
      <w:bookmarkStart w:id="889" w:name="Tc_jIbSq6ijMUeHpephPHF4Ug_4_0"/>
      <w:bookmarkStart w:id="890" w:name="Tc_EcoLn59D1UeL9ebicsHpmA_3_2"/>
      <w:bookmarkStart w:id="891" w:name="Tc_-IkxdCHbxkmTg-oI1Qw9PQ_3_0"/>
      <w:bookmarkStart w:id="892" w:name="Tc_xkJNkdUx1kWA5s8pL8Rvlw_2_7"/>
      <w:bookmarkStart w:id="893" w:name="Tc_I_ogXbyedU6qGWoWkh6nLQ_2_4"/>
      <w:bookmarkStart w:id="894" w:name="Tc_42CjhAJCKkuGoBeI2MrKZw_2_0"/>
      <w:bookmarkStart w:id="895" w:name="Tc_5ZS-zKSNR0GZbDT-qq9B7Q_1_7"/>
      <w:bookmarkStart w:id="896" w:name="Tc_NqpnTj3na0KCK856L7t3Pw_1_4"/>
      <w:bookmarkStart w:id="897" w:name="Tc_J7EAcQ2u_EyZ4Z_VxsYfqA_1_2"/>
      <w:bookmarkStart w:id="898" w:name="Tc_CkRbued4AkSLbogDaSkDUQ_1_0"/>
      <w:bookmarkStart w:id="899" w:name="_a3e8f6bc_7216_42b7_824d_10c0b24fa0e5"/>
      <w:bookmarkStart w:id="900" w:name="Note7PropertyPlantandEquipmentNet_819358"/>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Pr>
          <w:rFonts w:ascii="Times New Roman;Times;serif" w:hAnsi="Times New Roman;Times;serif"/>
          <w:b/>
          <w:sz w:val="20"/>
        </w:rPr>
        <w:t>Note 6. Property, Plant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property, plant and equipment, net as of June 30, 2026 and December 31, 2025:</w:t>
      </w:r>
    </w:p>
    <w:p>
      <w:pPr>
        <w:pStyle w:val="TextBody"/>
        <w:bidi w:val="0"/>
        <w:spacing w:before="0" w:after="0"/>
        <w:ind w:left="0" w:right="0" w:hanging="0"/>
        <w:jc w:val="left"/>
        <w:rPr/>
      </w:pPr>
      <w:r>
        <w:rPr/>
        <w:t>​</w:t>
      </w:r>
    </w:p>
    <w:tbl>
      <w:tblPr>
        <w:tblW w:w="9187" w:type="dxa"/>
        <w:jc w:val="left"/>
        <w:tblInd w:w="0" w:type="dxa"/>
        <w:tblLayout w:type="fixed"/>
        <w:tblCellMar>
          <w:top w:w="0" w:type="dxa"/>
          <w:left w:w="0" w:type="dxa"/>
          <w:bottom w:w="0" w:type="dxa"/>
          <w:right w:w="0" w:type="dxa"/>
        </w:tblCellMar>
      </w:tblPr>
      <w:tblGrid>
        <w:gridCol w:w="4096"/>
        <w:gridCol w:w="346"/>
        <w:gridCol w:w="1381"/>
        <w:gridCol w:w="346"/>
        <w:gridCol w:w="225"/>
        <w:gridCol w:w="901"/>
        <w:gridCol w:w="346"/>
        <w:gridCol w:w="297"/>
        <w:gridCol w:w="1249"/>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600960" cy="175260"/>
                      <wp:effectExtent l="0" t="0" r="0" b="0"/>
                      <wp:wrapNone/>
                      <wp:docPr id="134" name="Frame133"/>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876935" cy="175260"/>
                      <wp:effectExtent l="0" t="0" r="0" b="0"/>
                      <wp:wrapNone/>
                      <wp:docPr id="136" name="Frame13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2875" cy="175260"/>
                      <wp:effectExtent l="0" t="0" r="0" b="0"/>
                      <wp:wrapNone/>
                      <wp:docPr id="138" name="Frame13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72135" cy="175260"/>
                      <wp:effectExtent l="0" t="0" r="0" b="0"/>
                      <wp:wrapNone/>
                      <wp:docPr id="139" name="Frame1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8595" cy="175260"/>
                      <wp:effectExtent l="0" t="0" r="0" b="0"/>
                      <wp:wrapNone/>
                      <wp:docPr id="141" name="Frame14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93115" cy="175260"/>
                      <wp:effectExtent l="0" t="0" r="0" b="0"/>
                      <wp:wrapNone/>
                      <wp:docPr id="142" name="Frame141"/>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1"/>
              <w:ind w:left="0" w:right="0" w:hanging="0"/>
              <w:jc w:val="left"/>
              <w:rPr/>
            </w:pPr>
            <w:r>
              <w:rPr/>
              <w:t>  ​ ​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Depreciable</w:t>
            </w:r>
            <w:r>
              <w:rPr>
                <w:rFonts w:ascii="Times New Roman;Times;serif" w:hAnsi="Times New Roman;Times;serif"/>
                <w:sz w:val="16"/>
              </w:rPr>
              <w:t> </w:t>
            </w:r>
            <w:r>
              <w:rPr>
                <w:rFonts w:ascii="Times New Roman;Times;serif" w:hAnsi="Times New Roman;Times;serif"/>
                <w:b/>
                <w:sz w:val="16"/>
              </w:rPr>
              <w:t>Lives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10-40 years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182,611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182,653</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12,471</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equipment</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 years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383,742</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360,576</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 and transportation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systems</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years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14,069</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13,271</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3-10 years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beverage equipment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22,669</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 right-of-use assets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equipment deposits</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7,946</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27,132</w:t>
            </w:r>
          </w:p>
        </w:tc>
      </w:tr>
      <w:tr>
        <w:trPr/>
        <w:tc>
          <w:tcPr>
            <w:tcW w:w="40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628,894</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631,905</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(169,662)</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(148,299)</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459,232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483,606</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Leasehold improvements are amortized over the shorter of their estimated useful lives or the related lease life.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 Customer beverage equipment consists of brewers held on site at customer locations.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3 – Lease right-of-use assets are amortized over the shorter of the useful life of the asset or the lease term.</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 for the three and six months ended June 30, 2026 was $15.2 million and $29.8 million, respectively, and depreciation expense for the three and six months ended June 30, 2025 was $13.0 million and $22.8 million, respectively. Assets classified as construction in progress and equipment deposits are not depreciated, as they are not ready for production use. All assets classified as construction in progress and equipment deposits at June 30, 2026 are expected to be in production use.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01" w:name="Tc_EHXJTfpbnkirsWlbegY5Mw_10_5"/>
      <w:bookmarkStart w:id="902" w:name="Tc_8MEowuUILUK67T9Effh5rA_10_2"/>
      <w:bookmarkStart w:id="903" w:name="Tc_LUJvJvQPNUGAar5QAmyAkQ_9_0"/>
      <w:bookmarkStart w:id="904" w:name="Tc_Ssu6hNHHEkiv22bJU4eGwA_8_5"/>
      <w:bookmarkStart w:id="905" w:name="Tc_Aijyc695G0qn8jdbuzSsaw_8_2"/>
      <w:bookmarkStart w:id="906" w:name="Tc_5BVSpuUVD0-dvdRH0K8Z3g_8_0"/>
      <w:bookmarkStart w:id="907" w:name="Tc_XooQuQz_IE2oHT7e6BA5zg_7_0"/>
      <w:bookmarkStart w:id="908" w:name="Tc_n5P90CQZpEqRuDqng0ZhHw_5_0"/>
      <w:bookmarkStart w:id="909" w:name="Tc_lEfk2lW2pE2X8vQi015BNA_4_5"/>
      <w:bookmarkStart w:id="910" w:name="Tc_UJeua7UmDUO_SidSV0qhuA_4_2"/>
      <w:bookmarkStart w:id="911" w:name="Tc_Nqk6aJDFsE6UNhiLz6ugAg_4_0"/>
      <w:bookmarkStart w:id="912" w:name="Tc_JJN2G1NpXU6SlOYdodi19w_3_0"/>
      <w:bookmarkStart w:id="913" w:name="Tc_tws_PJsiEUatH4PqRqURxQ_2_5"/>
      <w:bookmarkStart w:id="914" w:name="Tc_9UR_yHKaOUuTKQEhCle1fw_2_2"/>
      <w:bookmarkStart w:id="915" w:name="Tc_WKKJZsEf6kqYSvaf0YlF_Q_2_0"/>
      <w:bookmarkStart w:id="916" w:name="Tc_PAaqy9fUckC48M-hl7UO3Q_1_2"/>
      <w:bookmarkStart w:id="917" w:name="Note8Goodwill_242269"/>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Note 7.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carrying amount of goodwill as of June 30, 2026 and December 31, 2025:</w:t>
      </w:r>
    </w:p>
    <w:p>
      <w:pPr>
        <w:pStyle w:val="TextBody"/>
        <w:bidi w:val="0"/>
        <w:spacing w:before="0" w:after="0"/>
        <w:ind w:left="0" w:right="0" w:hanging="0"/>
        <w:jc w:val="left"/>
        <w:rPr/>
      </w:pPr>
      <w:r>
        <w:rPr/>
        <w:t>​</w:t>
      </w:r>
    </w:p>
    <w:tbl>
      <w:tblPr>
        <w:tblW w:w="5392" w:type="dxa"/>
        <w:jc w:val="left"/>
        <w:tblInd w:w="0" w:type="dxa"/>
        <w:tblLayout w:type="fixed"/>
        <w:tblCellMar>
          <w:top w:w="0" w:type="dxa"/>
          <w:left w:w="0" w:type="dxa"/>
          <w:bottom w:w="0" w:type="dxa"/>
          <w:right w:w="0" w:type="dxa"/>
        </w:tblCellMar>
      </w:tblPr>
      <w:tblGrid>
        <w:gridCol w:w="2596"/>
        <w:gridCol w:w="346"/>
        <w:gridCol w:w="211"/>
        <w:gridCol w:w="796"/>
        <w:gridCol w:w="346"/>
        <w:gridCol w:w="211"/>
        <w:gridCol w:w="8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48460" cy="175260"/>
                      <wp:effectExtent l="0" t="0" r="0" b="0"/>
                      <wp:wrapNone/>
                      <wp:docPr id="143" name="Frame14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5460" cy="175260"/>
                      <wp:effectExtent l="0" t="0" r="0" b="0"/>
                      <wp:wrapNone/>
                      <wp:docPr id="146" name="Frame1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2610" cy="175260"/>
                      <wp:effectExtent l="0" t="0" r="0" b="0"/>
                      <wp:wrapNone/>
                      <wp:docPr id="149"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vAlign w:val="center"/>
          </w:tcPr>
          <w:p>
            <w:pPr>
              <w:pStyle w:val="TableContents"/>
              <w:bidi w:val="0"/>
              <w:spacing w:before="0" w:after="1"/>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116,111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8" w:name="Tc_j-JtdxM65UyJIbqhQpO8cg_7_8"/>
      <w:bookmarkStart w:id="919" w:name="Tc_7ydWSEw2G0Ct7wlIk8_lEA_7_5"/>
      <w:bookmarkStart w:id="920" w:name="Tc_Qx21ycGubkSlkNNq2bYmPg_7_2"/>
      <w:bookmarkStart w:id="921" w:name="Tc_vau0aYroYEe7MJeE21gfzw_7_0"/>
      <w:bookmarkStart w:id="922" w:name="Tc_dADAnr8sbkKmUbRjVCBEfw_6_0"/>
      <w:bookmarkStart w:id="923" w:name="Tc_d6dpJCgfgEmCNBkxNZvTzA_5_9"/>
      <w:bookmarkStart w:id="924" w:name="Tc_gunw2vWjo0KddLXcM0tm7Q_5_0"/>
      <w:bookmarkStart w:id="925" w:name="Tc_H0mHPAWZAU-sI0rtpwalxg_4_8"/>
      <w:bookmarkStart w:id="926" w:name="Tc_yNHps8daL0S7r4OFQPQjdQ_4_5"/>
      <w:bookmarkStart w:id="927" w:name="Tc_KRuU0Whvlk2UvJ1fko3rHA_4_2"/>
      <w:bookmarkStart w:id="928" w:name="Tc_J3ScGBBbM0eOUC_zsRwr5A_4_0"/>
      <w:bookmarkStart w:id="929" w:name="Tc_rWExd-qCYUiMzjmVweVAeg_3_8"/>
      <w:bookmarkStart w:id="930" w:name="Tc_vo7cFRJfnE6iB2soNifklg_3_5"/>
      <w:bookmarkStart w:id="931" w:name="Tc_kRxusw_OB0--epn-x7mMXQ_3_2"/>
      <w:bookmarkStart w:id="932" w:name="Tc_klb4e8K210mBz3zVrrC1jw_3_0"/>
      <w:bookmarkStart w:id="933" w:name="Tc_VFMNnyZzS0al70ki4O0XrQ_2_5"/>
      <w:bookmarkStart w:id="934" w:name="Tc_AzPh_r4DlEqGeUuqGGALQA_1_2"/>
      <w:bookmarkStart w:id="935" w:name="_95ebbf42_663a_423f_a848_fbc300b18529"/>
      <w:bookmarkStart w:id="936" w:name="Tc_a1eWQaaW1ECn3RI0Z0PbbA_6_8"/>
      <w:bookmarkStart w:id="937" w:name="Tc_bUjbyH5P3UuLxznkpfUzSA_6_5"/>
      <w:bookmarkStart w:id="938" w:name="Tc_-H7AVtna_USq4ryfm7j62w_6_2"/>
      <w:bookmarkStart w:id="939" w:name="Tc_v3_MRPB3jkyVwX7Abrhz1g_6_0"/>
      <w:bookmarkStart w:id="940" w:name="Tc_Pu9ZJJP1IEemQ4S6HOXTDQ_5_0"/>
      <w:bookmarkStart w:id="941" w:name="Tc_3FFB358Yo0uGRVpv7qUOtA_4_8"/>
      <w:bookmarkStart w:id="942" w:name="Tc_2S0ZN4UKSUaQ02fr2m58Sg_4_5"/>
      <w:bookmarkStart w:id="943" w:name="Tc_FBHtGgp0c0Ck71WmOv0KpQ_4_2"/>
      <w:bookmarkStart w:id="944" w:name="Tc_gdNi402BlkqjUypD6kauLA_4_0"/>
      <w:bookmarkStart w:id="945" w:name="Tc_nbb7LDgxmUmTvfHaeyCwiQ_3_8"/>
      <w:bookmarkStart w:id="946" w:name="Tc_wmFkh3N_7Uirhfz0tyxfIw_3_5"/>
      <w:bookmarkStart w:id="947" w:name="Tc_4la4w5bIIk6VREzArzYCDQ_3_2"/>
      <w:bookmarkStart w:id="948" w:name="Tc_Gw0_NCeBBEygjc4tNAg1TA_3_0"/>
      <w:bookmarkStart w:id="949" w:name="Tc_yPLdxjVCikyFbODUttkt4A_2_5"/>
      <w:bookmarkStart w:id="950" w:name="Tc_QJ6ul4UB7ECSvw4nQvCg5Q_1_2"/>
      <w:bookmarkStart w:id="951" w:name="_bebf65ba_836b_4371_87c6_f0366bf66709"/>
      <w:bookmarkStart w:id="952" w:name="Note9IntangibleAssetsNet_958231"/>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b/>
          <w:sz w:val="20"/>
        </w:rPr>
        <w:t>Note 8. Intangible Assets,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intangible assets, net as of June 30, 2026 and December 31, 2025:</w:t>
      </w:r>
    </w:p>
    <w:p>
      <w:pPr>
        <w:pStyle w:val="TextBody"/>
        <w:bidi w:val="0"/>
        <w:spacing w:before="0" w:after="0"/>
        <w:ind w:left="0" w:right="0" w:hanging="0"/>
        <w:jc w:val="left"/>
        <w:rPr/>
      </w:pPr>
      <w:r>
        <w:rPr/>
        <w:t>​</w:t>
      </w:r>
    </w:p>
    <w:tbl>
      <w:tblPr>
        <w:tblW w:w="6204" w:type="dxa"/>
        <w:jc w:val="left"/>
        <w:tblInd w:w="0" w:type="dxa"/>
        <w:tblLayout w:type="fixed"/>
        <w:tblCellMar>
          <w:top w:w="0" w:type="dxa"/>
          <w:left w:w="0" w:type="dxa"/>
          <w:bottom w:w="0" w:type="dxa"/>
          <w:right w:w="0" w:type="dxa"/>
        </w:tblCellMar>
      </w:tblPr>
      <w:tblGrid>
        <w:gridCol w:w="1996"/>
        <w:gridCol w:w="346"/>
        <w:gridCol w:w="211"/>
        <w:gridCol w:w="781"/>
        <w:gridCol w:w="346"/>
        <w:gridCol w:w="240"/>
        <w:gridCol w:w="841"/>
        <w:gridCol w:w="34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67460" cy="175260"/>
                      <wp:effectExtent l="0" t="0" r="0" b="0"/>
                      <wp:wrapNone/>
                      <wp:docPr id="150" name="Frame14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260"/>
                      <wp:effectExtent l="0" t="0" r="0" b="0"/>
                      <wp:wrapNone/>
                      <wp:docPr id="153" name="Frame1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2400" cy="175260"/>
                      <wp:effectExtent l="0" t="0" r="0" b="0"/>
                      <wp:wrapNone/>
                      <wp:docPr id="155" name="Frame15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34035" cy="175260"/>
                      <wp:effectExtent l="0" t="0" r="0" b="0"/>
                      <wp:wrapNone/>
                      <wp:docPr id="156" name="Frame15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62610" cy="175260"/>
                      <wp:effectExtent l="0" t="0" r="0" b="0"/>
                      <wp:wrapNone/>
                      <wp:docPr id="159" name="Frame1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102,887</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150,004</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103,268</w:t>
            </w:r>
          </w:p>
        </w:tc>
      </w:tr>
    </w:tbl>
    <w:p>
      <w:pPr>
        <w:pStyle w:val="TextBody"/>
        <w:bidi w:val="0"/>
        <w:spacing w:before="0" w:after="240"/>
        <w:ind w:left="0" w:right="0" w:hanging="0"/>
        <w:jc w:val="left"/>
        <w:rPr/>
      </w:pPr>
      <w:r>
        <w:rPr/>
        <w:t>​</w:t>
      </w:r>
    </w:p>
    <w:tbl>
      <w:tblPr>
        <w:tblW w:w="6204" w:type="dxa"/>
        <w:jc w:val="left"/>
        <w:tblInd w:w="0" w:type="dxa"/>
        <w:tblLayout w:type="fixed"/>
        <w:tblCellMar>
          <w:top w:w="0" w:type="dxa"/>
          <w:left w:w="0" w:type="dxa"/>
          <w:bottom w:w="0" w:type="dxa"/>
          <w:right w:w="0" w:type="dxa"/>
        </w:tblCellMar>
      </w:tblPr>
      <w:tblGrid>
        <w:gridCol w:w="1996"/>
        <w:gridCol w:w="346"/>
        <w:gridCol w:w="211"/>
        <w:gridCol w:w="781"/>
        <w:gridCol w:w="346"/>
        <w:gridCol w:w="240"/>
        <w:gridCol w:w="841"/>
        <w:gridCol w:w="34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67460" cy="175260"/>
                      <wp:effectExtent l="0" t="0" r="0" b="0"/>
                      <wp:wrapNone/>
                      <wp:docPr id="160" name="Frame15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2400" cy="175260"/>
                      <wp:effectExtent l="0" t="0" r="0" b="0"/>
                      <wp:wrapNone/>
                      <wp:docPr id="165" name="Frame16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2610" cy="175260"/>
                      <wp:effectExtent l="0" t="0" r="0" b="0"/>
                      <wp:wrapNone/>
                      <wp:docPr id="169"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106,741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150,175</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107,141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of intangible assets was $1.9 million and $3.9 million for the three and six months ended June 30, 2026, respectively, and amortization expense of intangible assets was $2.0 million and $3.9 million for the three and six months ended June 30, 2025, respectively. As of June 30, 2026, the weighted average useful life for definite-lived intangibles is approximately 20 years.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3" w:name="Tc_h76d-VSp10KsKsL9dn3vXw_5_11"/>
      <w:bookmarkStart w:id="954" w:name="Tc_26-50Z28GEalbwmDxbayCg_5_8"/>
      <w:bookmarkStart w:id="955" w:name="Tc_K54mCdoM1kSg6sOPBA5R2A_5_5"/>
      <w:bookmarkStart w:id="956" w:name="Tc_iSRkGyGW8EiGL7IWhPT-Hg_5_2"/>
      <w:bookmarkStart w:id="957" w:name="Tc_BEaPzSfP9UO5WNKlV1VA-w_5_0"/>
      <w:bookmarkStart w:id="958" w:name="Tc_ckO-Hr1Klkucu49wglrxOA_4_0"/>
      <w:bookmarkStart w:id="959" w:name="Tc_NeXoVQRzvkGEl0I4cf0vGw_3_11"/>
      <w:bookmarkStart w:id="960" w:name="Tc_sM1HoQ3YhkujSybUB-Kscw_3_8"/>
      <w:bookmarkStart w:id="961" w:name="Tc_Iyd_byUhpUKQJpdtzXj9bg_3_5"/>
      <w:bookmarkStart w:id="962" w:name="Tc_pZx74FgcNkGgykWH7i_l8g_3_2"/>
      <w:bookmarkStart w:id="963" w:name="Tc_KV7ScJg4xEOV0RiLoQDMgA_3_0"/>
      <w:bookmarkStart w:id="964" w:name="Tc_26Jft6nvD0uH23NelegAIA_2_11"/>
      <w:bookmarkStart w:id="965" w:name="Tc_nQrNzRXM1UOBE-43WTa2iw_2_8"/>
      <w:bookmarkStart w:id="966" w:name="Tc_YWz1spw-PUuRSDBBmgTSNQ_2_5"/>
      <w:bookmarkStart w:id="967" w:name="Tc_-ZTXBq2Gt06MgOXIQ_ENGQ_2_2"/>
      <w:bookmarkStart w:id="968" w:name="Tc_xupW_bQIWkS3eyCjYW4vXQ_2_0"/>
      <w:bookmarkStart w:id="969" w:name="Tc__-vJ8uxgoEK_8llJqdtYRQ_1_8"/>
      <w:bookmarkStart w:id="970" w:name="Tc_1Xj26nod0EmBtY_KPBnFWw_1_2"/>
      <w:bookmarkStart w:id="971" w:name="Tc_HrhAcY8s0kSCQ_kIMdoIqw_4_2"/>
      <w:bookmarkStart w:id="972" w:name="Tc_p_J-wbDAI0uiItUviqUq6A_4_0"/>
      <w:bookmarkStart w:id="973" w:name="Tc_7vl7BWHTN0iOIiUkTdVaZA_3_2"/>
      <w:bookmarkStart w:id="974" w:name="Tc_6WTNMhoeSEeGB0ejNFDYLQ_3_0"/>
      <w:bookmarkStart w:id="975" w:name="Tc_87bnqX_V80KZkFtK0csYZg_2_7"/>
      <w:bookmarkStart w:id="976" w:name="Tc_CWHVWFRSm0KM98KPkHxp5g_2_4"/>
      <w:bookmarkStart w:id="977" w:name="Tc_-XSnVMdZHUSBMM7Ix16_cg_2_2"/>
      <w:bookmarkStart w:id="978" w:name="Tc_LYOK3P-H80GiAMf64lE1gg_2_0"/>
      <w:bookmarkStart w:id="979" w:name="Tc_ycJO-eCQzkiOJc5rzQEwAg_1_7"/>
      <w:bookmarkStart w:id="980" w:name="Tc_szJVoSqwPUuq6SK2nQ9Exw_1_4"/>
      <w:bookmarkStart w:id="981" w:name="Tc_DXlhHB5vZkaO7T5ok10oIw_1_2"/>
      <w:bookmarkStart w:id="982" w:name="Tc_4wi2b_Od2U2F-8v-79XiSA_1_0"/>
      <w:bookmarkStart w:id="983" w:name="Note10Leases_707775"/>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b/>
          <w:sz w:val="20"/>
        </w:rPr>
        <w:t>Note 9.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amount of right-of-use lease assets and lease liabilities included in each respective line item on the Company’s Condensed Consolidated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00"/>
        <w:gridCol w:w="346"/>
        <w:gridCol w:w="3494"/>
        <w:gridCol w:w="346"/>
        <w:gridCol w:w="267"/>
        <w:gridCol w:w="859"/>
        <w:gridCol w:w="346"/>
        <w:gridCol w:w="328"/>
        <w:gridCol w:w="1219"/>
      </w:tblGrid>
      <w:tr>
        <w:trPr/>
        <w:tc>
          <w:tcPr>
            <w:tcW w:w="3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05000" cy="175260"/>
                      <wp:effectExtent l="0" t="0" r="0" b="0"/>
                      <wp:wrapNone/>
                      <wp:docPr id="170" name="Frame169"/>
                      <a:graphic xmlns:a="http://schemas.openxmlformats.org/drawingml/2006/main">
                        <a:graphicData uri="http://schemas.microsoft.com/office/word/2010/wordprocessingShape">
                          <wps:wsp>
                            <wps:cNvSpPr txBox="1"/>
                            <wps:spPr>
                              <a:xfrm>
                                <a:off x="0" y="0"/>
                                <a:ext cx="190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18690" cy="175260"/>
                      <wp:effectExtent l="0" t="0" r="0" b="0"/>
                      <wp:wrapNone/>
                      <wp:docPr id="172" name="Frame171"/>
                      <a:graphic xmlns:a="http://schemas.openxmlformats.org/drawingml/2006/main">
                        <a:graphicData uri="http://schemas.microsoft.com/office/word/2010/wordprocessingShape">
                          <wps:wsp>
                            <wps:cNvSpPr txBox="1"/>
                            <wps:spPr>
                              <a:xfrm>
                                <a:off x="0" y="0"/>
                                <a:ext cx="2218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9545" cy="175260"/>
                      <wp:effectExtent l="0" t="0" r="0" b="0"/>
                      <wp:wrapNone/>
                      <wp:docPr id="174" name="Frame17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45465" cy="175260"/>
                      <wp:effectExtent l="0" t="0" r="0" b="0"/>
                      <wp:wrapNone/>
                      <wp:docPr id="175" name="Frame174"/>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8280" cy="175260"/>
                      <wp:effectExtent l="0" t="0" r="0" b="0"/>
                      <wp:wrapNone/>
                      <wp:docPr id="177" name="Frame17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74065" cy="175260"/>
                      <wp:effectExtent l="0" t="0" r="0" b="0"/>
                      <wp:wrapNone/>
                      <wp:docPr id="178" name="Frame177"/>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34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61,438</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60,310</w:t>
            </w:r>
          </w:p>
        </w:tc>
      </w:tr>
      <w:tr>
        <w:trPr/>
        <w:tc>
          <w:tcPr>
            <w:tcW w:w="30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 current</w:t>
            </w:r>
          </w:p>
        </w:tc>
        <w:tc>
          <w:tcPr>
            <w:tcW w:w="346" w:type="dxa"/>
            <w:tcBorders/>
            <w:vAlign w:val="center"/>
          </w:tcPr>
          <w:p>
            <w:pPr>
              <w:pStyle w:val="TableContents"/>
              <w:bidi w:val="0"/>
              <w:spacing w:before="0" w:after="1"/>
              <w:ind w:left="0" w:right="0" w:hanging="0"/>
              <w:jc w:val="left"/>
              <w:rPr/>
            </w:pPr>
            <w:r>
              <w:rPr/>
              <w:t>​</w:t>
            </w:r>
          </w:p>
        </w:tc>
        <w:tc>
          <w:tcPr>
            <w:tcW w:w="349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5,344</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4,908</w:t>
            </w:r>
          </w:p>
        </w:tc>
      </w:tr>
      <w:tr>
        <w:trPr/>
        <w:tc>
          <w:tcPr>
            <w:tcW w:w="30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34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59,375</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58,146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and 2025, the Company obtained approximately $4.1 million and $1.2 million, respectively, of right-of-use operating lease assets in exchange for lease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nature of the lease, lease costs are classified within costs of sales or selling, general and administrative expense on the Company’s Condensed Consolidated Statements of Operations. The components of lease costs for the three and six months ended June 30, 2026 and 2025, respectively, are as follows:</w:t>
      </w:r>
    </w:p>
    <w:p>
      <w:pPr>
        <w:pStyle w:val="TextBody"/>
        <w:bidi w:val="0"/>
        <w:spacing w:before="0" w:after="0"/>
        <w:ind w:left="0" w:right="0" w:hanging="0"/>
        <w:jc w:val="left"/>
        <w:rPr/>
      </w:pPr>
      <w:r>
        <w:rPr/>
        <w:t>​</w:t>
      </w:r>
    </w:p>
    <w:tbl>
      <w:tblPr>
        <w:tblW w:w="6485" w:type="dxa"/>
        <w:jc w:val="left"/>
        <w:tblInd w:w="0" w:type="dxa"/>
        <w:tblLayout w:type="fixed"/>
        <w:tblCellMar>
          <w:top w:w="0" w:type="dxa"/>
          <w:left w:w="0" w:type="dxa"/>
          <w:bottom w:w="0" w:type="dxa"/>
          <w:right w:w="0" w:type="dxa"/>
        </w:tblCellMar>
      </w:tblPr>
      <w:tblGrid>
        <w:gridCol w:w="1801"/>
        <w:gridCol w:w="109"/>
        <w:gridCol w:w="255"/>
        <w:gridCol w:w="690"/>
        <w:gridCol w:w="418"/>
        <w:gridCol w:w="255"/>
        <w:gridCol w:w="690"/>
        <w:gridCol w:w="109"/>
        <w:gridCol w:w="256"/>
        <w:gridCol w:w="693"/>
        <w:gridCol w:w="132"/>
        <w:gridCol w:w="256"/>
        <w:gridCol w:w="82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43635" cy="175260"/>
                      <wp:effectExtent l="0" t="0" r="0" b="0"/>
                      <wp:wrapNone/>
                      <wp:docPr id="179" name="Frame17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1925" cy="175260"/>
                      <wp:effectExtent l="0" t="0" r="0" b="0"/>
                      <wp:wrapNone/>
                      <wp:docPr id="181" name="Frame18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8150" cy="175260"/>
                      <wp:effectExtent l="0" t="0" r="0" b="0"/>
                      <wp:wrapNone/>
                      <wp:docPr id="182" name="Frame18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5430" cy="175260"/>
                      <wp:effectExtent l="0" t="0" r="0" b="0"/>
                      <wp:wrapNone/>
                      <wp:docPr id="183" name="Frame182"/>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1925" cy="175260"/>
                      <wp:effectExtent l="0" t="0" r="0" b="0"/>
                      <wp:wrapNone/>
                      <wp:docPr id="184" name="Frame18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150" cy="175260"/>
                      <wp:effectExtent l="0" t="0" r="0" b="0"/>
                      <wp:wrapNone/>
                      <wp:docPr id="185" name="Frame18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2560" cy="175260"/>
                      <wp:effectExtent l="0" t="0" r="0" b="0"/>
                      <wp:wrapNone/>
                      <wp:docPr id="187" name="Frame18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40055" cy="175260"/>
                      <wp:effectExtent l="0" t="0" r="0" b="0"/>
                      <wp:wrapNone/>
                      <wp:docPr id="188" name="Frame187"/>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83820" cy="175260"/>
                      <wp:effectExtent l="0" t="0" r="0" b="0"/>
                      <wp:wrapNone/>
                      <wp:docPr id="189" name="Frame188"/>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2560" cy="175260"/>
                      <wp:effectExtent l="0" t="0" r="0" b="0"/>
                      <wp:wrapNone/>
                      <wp:docPr id="190" name="Frame18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21335" cy="175260"/>
                      <wp:effectExtent l="0" t="0" r="0" b="0"/>
                      <wp:wrapNone/>
                      <wp:docPr id="191" name="Frame190"/>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5,330</w:t>
            </w:r>
          </w:p>
        </w:tc>
        <w:tc>
          <w:tcPr>
            <w:tcW w:w="132"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418"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c>
          <w:tcPr>
            <w:tcW w:w="132"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w:t>
            </w:r>
          </w:p>
        </w:tc>
        <w:tc>
          <w:tcPr>
            <w:tcW w:w="418"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6,048</w:t>
            </w:r>
          </w:p>
        </w:tc>
        <w:tc>
          <w:tcPr>
            <w:tcW w:w="132"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5,579</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84" w:name="Tc_xPfuBqYWYkmlYhOn5MnmgA_10_2"/>
      <w:bookmarkStart w:id="985" w:name="Tc_OvenrVjulUaUBLSJ5R09nw_10_0"/>
      <w:bookmarkStart w:id="986" w:name="Tc_ScRxSmYJn02wFfS35eqRAw_9_0"/>
      <w:bookmarkStart w:id="987" w:name="Tc_iZ2akphTjEmyMV8cKfD4fQ_8_0"/>
      <w:bookmarkStart w:id="988" w:name="Tc_p9VONYXejkyx6c3VrkERAg_7_0"/>
      <w:bookmarkStart w:id="989" w:name="Tc_TO94YXwky0euu-IacmKlMQ_6_0"/>
      <w:bookmarkStart w:id="990" w:name="Tc_jpkZHzsupUWRghIwOE2ZKQ_5_0"/>
      <w:bookmarkStart w:id="991" w:name="Tc_oA7EAX5P0kOk70Co1uTdPw_4_0"/>
      <w:bookmarkStart w:id="992" w:name="Tc_0iU-L9Js3EK800-qjNmLMw_3_0"/>
      <w:bookmarkStart w:id="993" w:name="Tc_ha8gBm_Xr02MGQnwpOtDoQ_2_2"/>
      <w:bookmarkStart w:id="994" w:name="Tc_a2hqXSN3x0qkrWhFQ22LPA_2_0"/>
      <w:bookmarkStart w:id="995" w:name="Tc_2N4j_d_OP0-syd2y3GPUuA_1_0"/>
      <w:bookmarkStart w:id="996" w:name="Tc_gWoGvij4KUaRlGz8-4C3Tg_3_5"/>
      <w:bookmarkStart w:id="997" w:name="Tc_9v-jXtOtv0efCNNKqBeWfg_3_2"/>
      <w:bookmarkStart w:id="998" w:name="Tc_weY7JjZ-60GbeWZT_a9PEg_3_0"/>
      <w:bookmarkStart w:id="999" w:name="Tc_Vszh0o4iYkqVBc4BDUH5wQ_2_5"/>
      <w:bookmarkStart w:id="1000" w:name="Tc_sb3zMX4-xkaaEU3Xw1K17g_2_2"/>
      <w:bookmarkStart w:id="1001" w:name="Tc_mn0OUby4hUOBX_MgcTG2Eg_2_0"/>
      <w:bookmarkStart w:id="1002" w:name="Tc_W5u6VSHYQUeRYVIGde4zQg_1_2"/>
      <w:bookmarkStart w:id="1003" w:name="Tc_uygJbZY2ykyj4jhWZUIDwQ_3_6"/>
      <w:bookmarkStart w:id="1004" w:name="Tc_8vL_wRjtZUuThHNi0La_Pw_3_3"/>
      <w:bookmarkStart w:id="1005" w:name="Tc_dYOXCXTN90yOIwIYTeSdTQ_3_0"/>
      <w:bookmarkStart w:id="1006" w:name="Tc_30VAX2-q9kG9SzvPyr14tg_2_0"/>
      <w:bookmarkStart w:id="1007" w:name="Tc_G4_9ofBGMk6-uyzX85FNjg_1_5"/>
      <w:bookmarkStart w:id="1008" w:name="Tc_q10Brj-vNk6s3G-scfpSug_1_2"/>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ascii="Times New Roman;Times;serif" w:hAnsi="Times New Roman;Times;serif"/>
          <w:sz w:val="20"/>
        </w:rPr>
        <w:t>The following table presents information about the Company’s weighted average discount rate and remaining lease term as of June 30, 2026 and December 31, 2025:</w:t>
      </w:r>
    </w:p>
    <w:p>
      <w:pPr>
        <w:pStyle w:val="TextBody"/>
        <w:bidi w:val="0"/>
        <w:spacing w:before="0" w:after="0"/>
        <w:ind w:left="0" w:right="0" w:hanging="0"/>
        <w:jc w:val="left"/>
        <w:rPr/>
      </w:pPr>
      <w:r>
        <w:rPr/>
        <w:t>​</w:t>
      </w:r>
    </w:p>
    <w:tbl>
      <w:tblPr>
        <w:tblW w:w="6695" w:type="dxa"/>
        <w:jc w:val="left"/>
        <w:tblInd w:w="0" w:type="dxa"/>
        <w:tblLayout w:type="fixed"/>
        <w:tblCellMar>
          <w:top w:w="0" w:type="dxa"/>
          <w:left w:w="0" w:type="dxa"/>
          <w:bottom w:w="0" w:type="dxa"/>
          <w:right w:w="0" w:type="dxa"/>
        </w:tblCellMar>
      </w:tblPr>
      <w:tblGrid>
        <w:gridCol w:w="3331"/>
        <w:gridCol w:w="346"/>
        <w:gridCol w:w="193"/>
        <w:gridCol w:w="933"/>
        <w:gridCol w:w="346"/>
        <w:gridCol w:w="227"/>
        <w:gridCol w:w="1319"/>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15185" cy="175260"/>
                      <wp:effectExtent l="0" t="0" r="0" b="0"/>
                      <wp:wrapNone/>
                      <wp:docPr id="192" name="Frame19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2555" cy="175260"/>
                      <wp:effectExtent l="0" t="0" r="0" b="0"/>
                      <wp:wrapNone/>
                      <wp:docPr id="194" name="Frame19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2455" cy="175260"/>
                      <wp:effectExtent l="0" t="0" r="0" b="0"/>
                      <wp:wrapNone/>
                      <wp:docPr id="195" name="Frame19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4145" cy="175260"/>
                      <wp:effectExtent l="0" t="0" r="0" b="0"/>
                      <wp:wrapNone/>
                      <wp:docPr id="197" name="Frame19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37565" cy="175260"/>
                      <wp:effectExtent l="0" t="0" r="0" b="0"/>
                      <wp:wrapNone/>
                      <wp:docPr id="198" name="Frame197"/>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193"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3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46"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 years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319"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11.4 years</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Supplemental cash flow information about the Company’s leases as of June 30, 2026 and 2025, respectively, is as follows:</w:t>
      </w:r>
    </w:p>
    <w:p>
      <w:pPr>
        <w:pStyle w:val="TextBody"/>
        <w:bidi w:val="0"/>
        <w:spacing w:before="0" w:after="0"/>
        <w:ind w:left="0" w:right="0" w:hanging="0"/>
        <w:jc w:val="left"/>
        <w:rPr/>
      </w:pPr>
      <w:r>
        <w:rPr/>
        <w:t>​</w:t>
      </w:r>
    </w:p>
    <w:tbl>
      <w:tblPr>
        <w:tblW w:w="6346" w:type="dxa"/>
        <w:jc w:val="left"/>
        <w:tblInd w:w="0" w:type="dxa"/>
        <w:tblLayout w:type="fixed"/>
        <w:tblCellMar>
          <w:top w:w="0" w:type="dxa"/>
          <w:left w:w="0" w:type="dxa"/>
          <w:bottom w:w="0" w:type="dxa"/>
          <w:right w:w="0" w:type="dxa"/>
        </w:tblCellMar>
      </w:tblPr>
      <w:tblGrid>
        <w:gridCol w:w="3841"/>
        <w:gridCol w:w="346"/>
        <w:gridCol w:w="226"/>
        <w:gridCol w:w="612"/>
        <w:gridCol w:w="371"/>
        <w:gridCol w:w="226"/>
        <w:gridCol w:w="72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439035" cy="175260"/>
                      <wp:effectExtent l="0" t="0" r="0" b="0"/>
                      <wp:wrapNone/>
                      <wp:docPr id="199" name="Frame198"/>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3510" cy="175260"/>
                      <wp:effectExtent l="0" t="0" r="0" b="0"/>
                      <wp:wrapNone/>
                      <wp:docPr id="201" name="Frame2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88620" cy="175260"/>
                      <wp:effectExtent l="0" t="0" r="0" b="0"/>
                      <wp:wrapNone/>
                      <wp:docPr id="202" name="Frame201"/>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35585" cy="175260"/>
                      <wp:effectExtent l="0" t="0" r="0" b="0"/>
                      <wp:wrapNone/>
                      <wp:docPr id="203" name="Frame20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3510" cy="175260"/>
                      <wp:effectExtent l="0" t="0" r="0" b="0"/>
                      <wp:wrapNone/>
                      <wp:docPr id="204" name="Frame2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9740" cy="175260"/>
                      <wp:effectExtent l="0" t="0" r="0" b="0"/>
                      <wp:wrapNone/>
                      <wp:docPr id="205" name="Frame204"/>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8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1"/>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related to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4,564</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June 30, 2026.</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Future minimum lease payments under non-cancellable operating leases as of June 30, 2026 are as follows:</w:t>
      </w:r>
    </w:p>
    <w:p>
      <w:pPr>
        <w:pStyle w:val="TextBody"/>
        <w:bidi w:val="0"/>
        <w:spacing w:before="0" w:after="0"/>
        <w:ind w:left="0" w:right="0" w:hanging="0"/>
        <w:jc w:val="left"/>
        <w:rPr/>
      </w:pPr>
      <w:r>
        <w:rPr/>
        <w:t>​</w:t>
      </w:r>
    </w:p>
    <w:tbl>
      <w:tblPr>
        <w:tblW w:w="4909" w:type="dxa"/>
        <w:jc w:val="left"/>
        <w:tblInd w:w="0" w:type="dxa"/>
        <w:tblLayout w:type="fixed"/>
        <w:tblCellMar>
          <w:top w:w="0" w:type="dxa"/>
          <w:left w:w="0" w:type="dxa"/>
          <w:bottom w:w="0" w:type="dxa"/>
          <w:right w:w="0" w:type="dxa"/>
        </w:tblCellMar>
      </w:tblPr>
      <w:tblGrid>
        <w:gridCol w:w="3511"/>
        <w:gridCol w:w="346"/>
        <w:gridCol w:w="211"/>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29485" cy="175260"/>
                      <wp:effectExtent l="0" t="0" r="0" b="0"/>
                      <wp:wrapNone/>
                      <wp:docPr id="206" name="Frame20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34035" cy="175260"/>
                      <wp:effectExtent l="0" t="0" r="0" b="0"/>
                      <wp:wrapNone/>
                      <wp:docPr id="209" name="Frame2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58,645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98,144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64,719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9" w:name="Tc_KN94GA6d-k625hQQwPhurg_14_5"/>
      <w:bookmarkStart w:id="1010" w:name="Tc_1WXWTADTX0-zbmeAlMVBQQ_14_2"/>
      <w:bookmarkStart w:id="1011" w:name="Tc_zPK2-FKRLkateEyUL-znUw_14_0"/>
      <w:bookmarkStart w:id="1012" w:name="Tc_oKCJzFb9mUKZc6ALFGmTrA_13_0"/>
      <w:bookmarkStart w:id="1013" w:name="Tc_3qnOtn0eIkCz7Qr4KZRTYg_12_0"/>
      <w:bookmarkStart w:id="1014" w:name="Tc_7nlwozJMEU2k-JEIo6GT8Q_11_0"/>
      <w:bookmarkStart w:id="1015" w:name="Tc_wYFrT_czLEC8lRjj2wceCw_10_0"/>
      <w:bookmarkStart w:id="1016" w:name="Tc_NKlNpbx1Vkuo0o5rgx3urQ_9_0"/>
      <w:bookmarkStart w:id="1017" w:name="Tc_YSaTaSkl1UO3oATdYss-jw_8_0"/>
      <w:bookmarkStart w:id="1018" w:name="Tc_PJ5d_ogCZU-OqH1ogU1j7Q_7_0"/>
      <w:bookmarkStart w:id="1019" w:name="Tc_H4UBAVfkL0C5Gt04x64_Tg_6_0"/>
      <w:bookmarkStart w:id="1020" w:name="Tc_pgap5kdeskCYXKgcSFm_XA_5_0"/>
      <w:bookmarkStart w:id="1021" w:name="Tc_PdRf9-FjUEyIoI9G-2oBHw_4_0"/>
      <w:bookmarkStart w:id="1022" w:name="Tc_6d2zJXLzmEKfs_LgO_mXEA_3_0"/>
      <w:bookmarkStart w:id="1023" w:name="Tc_VLXQh48hwUKDOhQ3KzDdmQ_2_5"/>
      <w:bookmarkStart w:id="1024" w:name="Tc_9tWX8tpBcE2zKM-Fc4yBzw_2_2"/>
      <w:bookmarkStart w:id="1025" w:name="Tc_FDtSji_j_0CAgXy2ZI8ToA_2_0"/>
      <w:bookmarkStart w:id="1026" w:name="Tc_qgE2cWYkZkGGV5esKZRqMA_1_5"/>
      <w:bookmarkStart w:id="1027" w:name="Tc_LXH0YimZ1UGuIfc8iJ8YRQ_1_2"/>
      <w:bookmarkStart w:id="1028" w:name="Tc_BZbUNsRyxEuGn9BVTiUiZg_1_0"/>
      <w:bookmarkStart w:id="1029" w:name="Note11Debt_937033"/>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rFonts w:ascii="Times New Roman;Times;serif" w:hAnsi="Times New Roman;Times;serif"/>
          <w:b/>
          <w:sz w:val="20"/>
        </w:rPr>
        <w:t>Note 10.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long-term debt at June 30, 2026 and December 31, 2025 is as follows:</w:t>
      </w:r>
    </w:p>
    <w:p>
      <w:pPr>
        <w:pStyle w:val="TextBody"/>
        <w:bidi w:val="0"/>
        <w:spacing w:before="0" w:after="0"/>
        <w:ind w:left="0" w:right="0" w:hanging="0"/>
        <w:jc w:val="left"/>
        <w:rPr/>
      </w:pPr>
      <w:r>
        <w:rPr/>
        <w:t>​</w:t>
      </w:r>
    </w:p>
    <w:tbl>
      <w:tblPr>
        <w:tblW w:w="7145" w:type="dxa"/>
        <w:jc w:val="left"/>
        <w:tblInd w:w="0" w:type="dxa"/>
        <w:tblLayout w:type="fixed"/>
        <w:tblCellMar>
          <w:top w:w="0" w:type="dxa"/>
          <w:left w:w="0" w:type="dxa"/>
          <w:bottom w:w="0" w:type="dxa"/>
          <w:right w:w="0" w:type="dxa"/>
        </w:tblCellMar>
      </w:tblPr>
      <w:tblGrid>
        <w:gridCol w:w="3781"/>
        <w:gridCol w:w="346"/>
        <w:gridCol w:w="239"/>
        <w:gridCol w:w="887"/>
        <w:gridCol w:w="346"/>
        <w:gridCol w:w="297"/>
        <w:gridCol w:w="1249"/>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400935" cy="175260"/>
                      <wp:effectExtent l="0" t="0" r="0" b="0"/>
                      <wp:wrapNone/>
                      <wp:docPr id="210" name="Frame209"/>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1765" cy="175260"/>
                      <wp:effectExtent l="0" t="0" r="0" b="0"/>
                      <wp:wrapNone/>
                      <wp:docPr id="212" name="Frame21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63245" cy="175260"/>
                      <wp:effectExtent l="0" t="0" r="0" b="0"/>
                      <wp:wrapNone/>
                      <wp:docPr id="213" name="Frame21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8595" cy="175260"/>
                      <wp:effectExtent l="0" t="0" r="0" b="0"/>
                      <wp:wrapNone/>
                      <wp:docPr id="215" name="Frame21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93115" cy="175260"/>
                      <wp:effectExtent l="0" t="0" r="0" b="0"/>
                      <wp:wrapNone/>
                      <wp:docPr id="216" name="Frame215"/>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138,906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145,469</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43,438</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45,313</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145,000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102,000</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trade finance lines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notes payable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6,360</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511,517</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526,789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(22,594)</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(19,281)</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(64,839)</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(64,754)</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365,466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356,788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June 30, 2026, we had $165.0 million of outstanding borrowings under the Revolving Credit Facility, with a weighted average interest rate of 7.2%, and we had $2.0 million of standby letters of credit outstanding. At June 30, 2026, the interest rate applicable to our Term Loan Facility was 7.2% and the interest rate applicable to our Delayed Draw Term Loan Facility was 7.1%.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 quarterly principal payments totaling approximately $4.2 million (1.875% of the original principal balance), increasing to approximately $5.6 million (2.5% of the original principal balance) on December 31, 2026, through the maturity date.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Fourth Amendment also modified the secured net leverage ratio that the Company must comply with during the covenant relief period (the “Covenant Relief Period”), which commenced on June 30, 2023 in connection with Amendment No. 2 to the Credit Agreement, increasing the maximum secured net leverage ratio to (a) 6.00x for the test period ending June 30, 2025, (b) 5.50x for the test period ending September 30, 2025, and (c) 5.25x for the test period ending December 31, 2025. In addition, the Fourth Amendment provided that the minimum liquidity covenant will not apply after the Covenant Relief Period ends.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4, 2025, the Company entered into Amendment No. 5 (the “Fifth Amendment”) to the Credit Agreement. The Fifth Amendment modified and extended the existing Covenant Relief Period, to end on the earlier to occur of (i) October 1, 2026 and (ii) any date following June 30, 2024, on which the Borrower elects to terminate the Covenant Relief Period subject to satisfaction of certain conditions.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 (as defined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The Credit Agreement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The minimum liquidity covenant will not apply after the Covenant Relief Period ends. </w:t>
      </w:r>
    </w:p>
    <w:p>
      <w:pPr>
        <w:pStyle w:val="TextBody"/>
        <w:bidi w:val="0"/>
        <w:spacing w:before="0" w:after="24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2026, the Company entered into Amendment No. 6 (the “Sixth Amendment”) to the Credit Agreement. The Sixth Amendment extends the maturity date of approximately $360.7 million of the loans and commitments under its credit facilities from August 29, 2027 to November 29, 2028 and makes certain restricted payments subject to the secured net leverage ratio being no greater than 3.75x and liquidity being no less than $25.0 million, in each case on a pro forma basis. Approximately $25.8 million of the loans and commitments under its credit facilities will continue to mature on August 29, 2027. In connection with the Sixth Amendment, Texas Capital Bank has also become a lender.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on June 30, 2026, the Borrower elected to terminate the Covenant Relief Period under the Credit Agreement prior to its scheduled expiration on October 1, 2026. As a result, the applicable margin on any loans will decrease, certain restrictions limited to the covenant relief period will no longer apply, and the maximum permitted secured net leverage ratio under the secured net leverage ratio financial covenant decreased from 5.00x to 4.00x for the test period ended June 30, 2026, and from 4.50x to 4.00x for the test period ending September 30, 2026. As of the date of this Quarterly Report on Form 10-Q, the Company was in compliance with its financial covenants.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“2029 Convertible Notes”), of which $52.0 million was from related parties (see Note 19). The 2029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2029 Convertible Notes are carried at amortized cost and are recorded in long-term debt, net and convertible notes payable – related party, net on the Condensed Consolidated Balance Sheets. At June 30, 2026, the carrying value of the 2029 Convertible Notes was $71.7 million, of which $51.8 million was from related parties. We incurred a total of $0.5 million of financing fees in connection with the 2029 Convertible Notes, which were ratably allocated to the convertible notes payable and the convertible notes payable – related party, respectively, and are being amortized into interest expense over the remaining term of the 2029 Convertible Notes utilizing the effective interest rate method.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2029 Convertible Notes, noteholders may convert their 2029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4, 2025, the Company sold and issued in a private placement $30.0 million in aggregate principal amount of 5.00% convertible senior notes due 2031 (the “2031 Convertible Notes,” and together with the 2029 Convertible Notes, the “Convertible Notes”), of which $13.5 million was from related parties (see Note 19). The 2031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2031 Convertible Notes are carried at amortized cost and are recorded in long-term debt, net and convertible notes payable – related party, net on the Condensed Consolidated Balance Sheets. At June 30, 2026, the carrying value of the 2031 Convertible Notes was $29.0 million, of which $13.0 million was from related parties.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Convertible Notes do not contain any financial or operating covenants or restrictions on the payments of dividends, the incurrence of indebtedness or the issuance or repurchase of securities by the Company or any of its subsidiaries.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2029 Convertible Notes and/or 2031 Convertible Notes to become due and payable immediately. If an event of default involving certain events of bankruptcy, insolvency or reorganization occurs, then the principal amount of, and all accrued and unpaid interest on, all of the 2029 Convertible Notes and/or 2031 Convertible Notes then outstanding will immediately become due and payable without any further action or notice by any person.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International Debt and Lending Facilities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2025, Falcon Coffees Limited (“Falcon”), our subsidiary, renewed its working capital trade finance facility with multiple institutions, increasing the facility size from $75.0 million to $85.0 million on March 7, 2025 and from $85.0 million to $102.5 million on July 23, 2025. Most recently, Falcon renewed its working capital trade finance facility with multiple institutions on March 5, 2026, increasing its facility size from $102.5 million to $110.0 million. The facility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At June 30, 2026, there was $55.8 million of outstanding borrowings under the facility, which is recorded in short-term debt in the Condensed Consolidated Balance Sheets. </w:t>
      </w:r>
      <w:r>
        <w:rPr>
          <w:rFonts w:ascii="Times New Roman;Times;serif" w:hAnsi="Times New Roman;Times;serif"/>
          <w:sz w:val="20"/>
        </w:rPr>
        <w:t>Falcon’s facility contains certain restrictive financial covenants which require Falcon to maintain certain levels of working capital, debt, and net worth. Falcon was in compliance with these financial covenants as of June 30, 2026.</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 Borrowings under the facility bear interest at the borrower’s option at a rate equal to (a) (i) the most recent applicable Term SOFR </w:t>
      </w:r>
      <w:r>
        <w:rPr>
          <w:rFonts w:ascii="Times New Roman;Times;serif" w:hAnsi="Times New Roman;Times;serif"/>
          <w:b w:val="false"/>
          <w:i w:val="false"/>
          <w:caps w:val="false"/>
          <w:smallCaps w:val="false"/>
          <w:sz w:val="20"/>
        </w:rPr>
        <w:t>for</w:t>
      </w:r>
      <w:r>
        <w:rPr>
          <w:rFonts w:ascii="Times New Roman;Times;serif" w:hAnsi="Times New Roman;Times;serif"/>
          <w:sz w:val="20"/>
        </w:rPr>
        <w:t xml:space="preserve">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 there was $6.4 million of outstanding borrowings under the facility, of which $4.9 million and $1.5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June 30,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0" w:name="Note12SeriesAPreferredShares"/>
      <w:bookmarkEnd w:id="1030"/>
      <w:r>
        <w:rPr>
          <w:rFonts w:ascii="Times New Roman;Times;serif" w:hAnsi="Times New Roman;Times;serif"/>
          <w:b/>
          <w:sz w:val="20"/>
        </w:rPr>
        <w:t>Note 11.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 (a) the liquidation preference and (b) the amount such holder would have received had they converted their Westrock Series A Preferred Shares into Common Shares immediately prior to such liquidation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any holder of Westrock Series A Preferred Shares may require Westrock to redeem all or any whole number of such holder’s Westrock Series A Preferred Shares in cash, subject to applicable law and the terms of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outstanding at June 30, 2026 remain outstanding after February 26, 2028, we estimate an aggregate redemption payment of at least approximately $270.4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w:t>
      </w:r>
      <w:r>
        <w:rPr>
          <w:rFonts w:ascii="Times New Roman;Times;serif" w:hAnsi="Times New Roman;Times;serif"/>
          <w:b/>
          <w:sz w:val="20"/>
        </w:rPr>
        <w:t xml:space="preserve"> </w:t>
      </w:r>
      <w:r>
        <w:rPr>
          <w:rFonts w:ascii="Times New Roman;Times;serif" w:hAnsi="Times New Roman;Times;serif"/>
          <w:b w:val="false"/>
          <w:sz w:val="20"/>
        </w:rPr>
        <w:t>Westrock Series A Preferred Share on the date of the exercise of such call is notified by Westrock (including fractional shares for this purpose) and (y) the simple average of the daily volume weighted average price per Common Share for the ten</w:t>
      </w:r>
      <w:r>
        <w:rPr>
          <w:rFonts w:ascii="Times New Roman;Times;serif" w:hAnsi="Times New Roman;Times;serif"/>
          <w:b/>
          <w:sz w:val="20"/>
        </w:rPr>
        <w:t xml:space="preserve"> </w:t>
      </w:r>
      <w:r>
        <w:rPr>
          <w:rFonts w:ascii="Times New Roman;Times;serif" w:hAnsi="Times New Roman;Times;serif"/>
          <w:b w:val="false"/>
          <w:sz w:val="20"/>
        </w:rPr>
        <w:t>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w:t>
      </w:r>
      <w:r>
        <w:rPr>
          <w:rFonts w:ascii="Times New Roman;Times;serif" w:hAnsi="Times New Roman;Times;serif"/>
          <w:b/>
          <w:sz w:val="20"/>
        </w:rPr>
        <w:t xml:space="preserve"> </w:t>
      </w:r>
      <w:r>
        <w:rPr>
          <w:rFonts w:ascii="Times New Roman;Times;serif" w:hAnsi="Times New Roman;Times;serif"/>
          <w:b w:val="false"/>
          <w:sz w:val="20"/>
        </w:rPr>
        <w:t>per Westrock Series A Preferred Share (subject to adjustments); provided that, Westrock may redeem such shares in such a case if it pays an incremental price per share on the redemption date to the BBH Investors equal to the difference between $18.50</w:t>
      </w:r>
      <w:r>
        <w:rPr>
          <w:rFonts w:ascii="Times New Roman;Times;serif" w:hAnsi="Times New Roman;Times;serif"/>
          <w:b/>
          <w:sz w:val="20"/>
        </w:rPr>
        <w:t xml:space="preserve"> </w:t>
      </w:r>
      <w:r>
        <w:rPr>
          <w:rFonts w:ascii="Times New Roman;Times;serif" w:hAnsi="Times New Roman;Times;serif"/>
          <w:b w:val="false"/>
          <w:sz w:val="20"/>
        </w:rPr>
        <w:t>(subject to adjustments) and the redemption price otherwise.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six months ended June 30, 2026, the Company recorded $0.1 million and $0.2 million of amortization, respectively, with respect to the Westrock Series A Preferred Shares. For the three and six months ended June 30, 2025, the Company recorded $0.1 million and $0.2 million of amortization, respectively, with respect to the Westrock Series A Preferred Shares.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1" w:name="Note13Derivatives_643440"/>
      <w:bookmarkEnd w:id="1031"/>
      <w:r>
        <w:rPr>
          <w:rFonts w:ascii="Times New Roman;Times;serif" w:hAnsi="Times New Roman;Times;serif"/>
          <w:b/>
          <w:sz w:val="20"/>
        </w:rPr>
        <w:t>Note 12.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all derivatives, whether designated in a hedging relationship or not, at fair value on the Condensed Consolidated Balance Sheets. We use various types of derivative instruments including, but not limited to, forward contracts, exchange-traded futures and options contracts and over the counter (“OTC”) commodity swaps and options contracts for certain commodities. Forward and futures contracts, and commodity swaps,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derivatives that will be accounted for as hedging instruments, we formally designate and document, at inception, the financial instrument as a hedge of a specific underlying exposure, the risk management objective and the strategy for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six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Within our Beverage Solutions segment, we have entered into coffee futures, swaps and options contracts to hedge our exposure to price fluctuations on green coffee associated with certain price-to-be-fixed purchase contracts, which generally range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in length. These derivative instruments have been designated as cash flow hedges. The objective of this hedging program is to reduce the variability of cash flows associated with future purchases of green coffee.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notional amount for the coffee futures contracts, commodity swaps and coffee options that were designated and qualified for our commodity cash flow hedging program was </w:t>
        <w:softHyphen/>
        <w:softHyphen/>
        <w:softHyphen/>
        <w:softHyphen/>
        <w:t>22.4 million pounds and 116.8 million pounds as of June 30, 2026 and December 31, 2025, respectively. During the three and six months ended June 30, 2026, the Company purchased coffee futures contracts, commodity swaps and coffee options contracts under our cash flow hedging program with aggregate notional amounts of 16.4 million pounds and 141.1 million pounds, respectively. During the three and six months ended June 30, 2025, the Company purchased coffee futures contracts and coffee options contracts under our cash flow hedging program with aggregate notional amounts of 53.3 million pounds and 99.9 million pounds,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Approximately $9.5 million and $33.4 million of net realized gains, representing the effective portion of the cash flow hedge, were subsequently reclassified from AOCI to earnings and recognized in costs of sales in the Condensed Consolidated Statements of Operations for the three and six months ended June 30, 2026, respectively. Approximately $12.1 million and $22.3 million of net realized gains, representing the effective portion of the cash flow hedge, were subsequently reclassified from AOCI to earnings and recognized in costs of sales in the Condensed Consolidated Statements of Operations for the three and six months ended June 30, 2025, respectively. As of June 30, 2026, the estimated amount of net losses reported in AOCI that is expected to be reclassified to the Condensed Consolidated Statements of Operations within the next twelve months is $23.1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Within our SS&amp;T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32" w:name="Tc_DmntwNQ580qyJkzTNl_Ujg_7_13"/>
      <w:bookmarkStart w:id="1033" w:name="Tc_kIfquxGPCU6u1ooQPF72hA_7_10"/>
      <w:bookmarkStart w:id="1034" w:name="Tc_MSLd5eiQnU6WWTBLL4PCSw_7_7"/>
      <w:bookmarkStart w:id="1035" w:name="Tc_K8ClsjAr7UmOj0_DY5Bgdg_7_4"/>
      <w:bookmarkStart w:id="1036" w:name="Tc_eKkKkYjtYkSwSBkwU72Evw_7_2"/>
      <w:bookmarkStart w:id="1037" w:name="Tc_Gi2XAh4FCUms6GbtM8kBoQ_7_0"/>
      <w:bookmarkStart w:id="1038" w:name="Tc_O2yuNC2h1EawbxDZ1w-MUw_6_0"/>
      <w:bookmarkStart w:id="1039" w:name="Tc_gTq5MytEl0CV0ZSBkLjETw_4_13"/>
      <w:bookmarkStart w:id="1040" w:name="Tc_Ny0Es_9j5kK1gKr4xti36Q_4_10"/>
      <w:bookmarkStart w:id="1041" w:name="Tc_daeFl02a5kSkUvPZb9rmYw_4_7"/>
      <w:bookmarkStart w:id="1042" w:name="Tc_fXyXl_hLfUWuvu7x01-iyg_4_4"/>
      <w:bookmarkStart w:id="1043" w:name="Tc__t0JSOvR80qeiLpn1yVKvw_4_2"/>
      <w:bookmarkStart w:id="1044" w:name="Tc_kffydbvZzUqErGEgi5UeHA_4_0"/>
      <w:bookmarkStart w:id="1045" w:name="Tc__y5nhyeGl0qY-pl90D0I3Q_3_0"/>
      <w:bookmarkStart w:id="1046" w:name="Tc_4SqUwADyI0ChdvVW2efTpQ_2_13"/>
      <w:bookmarkStart w:id="1047" w:name="Tc_FMizfH6ylkqce84pPXSeQQ_2_10"/>
      <w:bookmarkStart w:id="1048" w:name="Tc_TRAeEyHRm0KrvN7Q23BleQ_2_7"/>
      <w:bookmarkStart w:id="1049" w:name="Tc_Gw5mt8VwJUalTh4021RKmw_2_4"/>
      <w:bookmarkStart w:id="1050" w:name="Tc_-_f67fJRnUOvgQFZqJAkbQ_2_2"/>
      <w:bookmarkStart w:id="1051" w:name="Tc_C7XRXsn2q06nTYl-RDCwgQ_2_0"/>
      <w:bookmarkStart w:id="1052" w:name="Tc_8nNh_YjLG0OdQfrvHwbGIQ_1_10"/>
      <w:bookmarkStart w:id="1053" w:name="Tc_pVTq4A-n-Eu1LrGWospowA_1_4"/>
      <w:bookmarkStart w:id="1054" w:name="Tc_Nb8XnwldTkaQvOrw05zsJA_21_7"/>
      <w:bookmarkStart w:id="1055" w:name="Tc_rrzXv_SWf0Svb-xzQEuPag_21_4"/>
      <w:bookmarkStart w:id="1056" w:name="Tc_s0ZW9esnjUqneKiFG4R7bg_21_0"/>
      <w:bookmarkStart w:id="1057" w:name="Tc_6yl2_-GVIUCpWYqxvj8Dpg_20_7"/>
      <w:bookmarkStart w:id="1058" w:name="Tc_6uDuMZ3_6EGg0kyZviwqOg_20_4"/>
      <w:bookmarkStart w:id="1059" w:name="Tc_8gvpGpK1VUWlda-yAIW2PA_20_2"/>
      <w:bookmarkStart w:id="1060" w:name="Tc_db11Fdau5UyqOI446ScNOw_20_0"/>
      <w:bookmarkStart w:id="1061" w:name="Tc_3StySJZMokm4LIqmQZW9Tg_19_0"/>
      <w:bookmarkStart w:id="1062" w:name="Tc_-UaooyWjCkGY66cr0RfZKQ_17_7"/>
      <w:bookmarkStart w:id="1063" w:name="Tc_HSsHnR2uJUKX3vw3Lsgy6w_17_5"/>
      <w:bookmarkStart w:id="1064" w:name="Tc_-QfxZLCl7UGFodZwpOIP3Q_17_4"/>
      <w:bookmarkStart w:id="1065" w:name="Tc_M_DIpyH0TUeJRRs_BMJ_vw_17_0"/>
      <w:bookmarkStart w:id="1066" w:name="Tc_T3RLUkkMcEuRdf_o8gE-_g_16_5"/>
      <w:bookmarkStart w:id="1067" w:name="Tc_txttJ_Nx40yqyxn6sy9aeg_16_2"/>
      <w:bookmarkStart w:id="1068" w:name="Tc_C6d3wWwsokadK4qakFWQgw_16_0"/>
      <w:bookmarkStart w:id="1069" w:name="Tc_mFGXPW1OHkaw8z4hQK0Ndg_15_5"/>
      <w:bookmarkStart w:id="1070" w:name="Tc_eOiStMERjUmA4SVstZhnGQ_15_2"/>
      <w:bookmarkStart w:id="1071" w:name="Tc_OmHNdZA_d0WNMr1csOwYoA_15_0"/>
      <w:bookmarkStart w:id="1072" w:name="Tc_eCi3TKVNg0mg0CLrpuH0_w_14_7"/>
      <w:bookmarkStart w:id="1073" w:name="Tc_FByqj_6jSU6FHCk1iY77EQ_14_5"/>
      <w:bookmarkStart w:id="1074" w:name="Tc_MAFtvsc35UeEqFcX0VrUpg_14_4"/>
      <w:bookmarkStart w:id="1075" w:name="Tc_M7tvaunMlEOvBK0Rstexpw_14_2"/>
      <w:bookmarkStart w:id="1076" w:name="Tc_O1tYzSJgKEiD9Yl0cvPNTw_14_0"/>
      <w:bookmarkStart w:id="1077" w:name="Tc_UtqFg2k1yUuCN8jUrvBUsw_13_0"/>
      <w:bookmarkStart w:id="1078" w:name="Tc_kZp2sx1_n0mR711EUftAjA_11_7"/>
      <w:bookmarkStart w:id="1079" w:name="Tc_8g7JcUwwTEOMEKQCX80ToQ_11_4"/>
      <w:bookmarkStart w:id="1080" w:name="Tc_QcMoXi7830m2BKE3HJ-xUA_11_0"/>
      <w:bookmarkStart w:id="1081" w:name="Tc_UteFiURKy0Gtodq65uB7og_10_0"/>
      <w:bookmarkStart w:id="1082" w:name="Tc_sv4EJIT0gkalx4W-IucWJw_9_7"/>
      <w:bookmarkStart w:id="1083" w:name="Tc_t0YaamaGDUugEqNH-czJ1g_9_4"/>
      <w:bookmarkStart w:id="1084" w:name="Tc_hyBugEfOCkaXQFkWgOlLYw_9_2"/>
      <w:bookmarkStart w:id="1085" w:name="Tc_gllyGWwUVEyZ40o5miv4aA_9_0"/>
      <w:bookmarkStart w:id="1086" w:name="Tc_Vh4F1S-I90-3832QW4XNZw_8_0"/>
      <w:bookmarkStart w:id="1087" w:name="Tc_KUA0Jbwh5USJxNvtKWToUg_6_8"/>
      <w:bookmarkStart w:id="1088" w:name="Tc_GXiKYl2Tc0u7AfLa1n3gIw_6_7"/>
      <w:bookmarkStart w:id="1089" w:name="Tc_FXj5h729MUG9SEJG1Y5VmQ_6_4"/>
      <w:bookmarkStart w:id="1090" w:name="Tc_4hSah2hMSEyxn_2Om9pgcw_6_0"/>
      <w:bookmarkStart w:id="1091" w:name="Tc_nPvs_z46w0-1Zat2eEkRww_5_8"/>
      <w:bookmarkStart w:id="1092" w:name="Tc_BU237ZsnBE-UkiIR6FYnHA_5_2"/>
      <w:bookmarkStart w:id="1093" w:name="Tc_EuwMLLzTtES_WcAHVzks6Q_5_0"/>
      <w:bookmarkStart w:id="1094" w:name="Tc_eIKHPMCVQk2eGdpFpB0jTg_4_8"/>
      <w:bookmarkStart w:id="1095" w:name="Tc_eae-jslob0u-VL11AvXd4A_4_2"/>
      <w:bookmarkStart w:id="1096" w:name="Tc_IXhaYzthOE-5bwEIpbIxLw_4_0"/>
      <w:bookmarkStart w:id="1097" w:name="Tc_KGxwq4utrE-fjlVRMDVJXA_3_8"/>
      <w:bookmarkStart w:id="1098" w:name="Tc_I_Xj2qWiXUOYU-eLWqtUaw_3_7"/>
      <w:bookmarkStart w:id="1099" w:name="Tc_btZ7nx80R0a8OrE2RTYNFA_3_4"/>
      <w:bookmarkStart w:id="1100" w:name="Tc_Y4jlM59zmkWRrLA5oHsQxg_3_2"/>
      <w:bookmarkStart w:id="1101" w:name="Tc_SUcr6u7BoUyEnQRrYzwkYg_3_0"/>
      <w:bookmarkStart w:id="1102" w:name="Tc_K746uUMswkKGghR5gdVR5g_2_0"/>
      <w:bookmarkStart w:id="1103" w:name="Tc_xGrOOV2U2EiGbR-VJaMf0A_1_7"/>
      <w:bookmarkStart w:id="1104" w:name="Tc_0yYCGU_9R0acAKDwDA1j3Q_1_4"/>
      <w:bookmarkStart w:id="1105" w:name="Tc_L3kCok27xEuysdEtML_MZA_1_2"/>
      <w:bookmarkStart w:id="1106" w:name="Tc_N-3wPqJcHEGIFhbGPkRpNA_1_0"/>
      <w:bookmarkStart w:id="1107" w:name="_66c57f34_37dc_49ba_a5fe_d8a027a936c2"/>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Fonts w:ascii="Times New Roman;Times;serif" w:hAnsi="Times New Roman;Times;serif"/>
          <w:sz w:val="20"/>
        </w:rPr>
        <w:t>The fair value of our derivative assets and liabilities included in the Condensed Consolidated Balance Sheets are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83"/>
        <w:gridCol w:w="346"/>
        <w:gridCol w:w="1611"/>
        <w:gridCol w:w="346"/>
        <w:gridCol w:w="267"/>
        <w:gridCol w:w="859"/>
        <w:gridCol w:w="346"/>
        <w:gridCol w:w="328"/>
        <w:gridCol w:w="1219"/>
      </w:tblGrid>
      <w:tr>
        <w:trPr/>
        <w:tc>
          <w:tcPr>
            <w:tcW w:w="4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100705" cy="175260"/>
                      <wp:effectExtent l="0" t="0" r="0" b="0"/>
                      <wp:wrapNone/>
                      <wp:docPr id="217" name="Frame216"/>
                      <a:graphic xmlns:a="http://schemas.openxmlformats.org/drawingml/2006/main">
                        <a:graphicData uri="http://schemas.microsoft.com/office/word/2010/wordprocessingShape">
                          <wps:wsp>
                            <wps:cNvSpPr txBox="1"/>
                            <wps:spPr>
                              <a:xfrm>
                                <a:off x="0" y="0"/>
                                <a:ext cx="310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022985" cy="175260"/>
                      <wp:effectExtent l="0" t="0" r="0" b="0"/>
                      <wp:wrapNone/>
                      <wp:docPr id="219" name="Frame218"/>
                      <a:graphic xmlns:a="http://schemas.openxmlformats.org/drawingml/2006/main">
                        <a:graphicData uri="http://schemas.microsoft.com/office/word/2010/wordprocessingShape">
                          <wps:wsp>
                            <wps:cNvSpPr txBox="1"/>
                            <wps:spPr>
                              <a:xfrm>
                                <a:off x="0" y="0"/>
                                <a:ext cx="102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9545" cy="175260"/>
                      <wp:effectExtent l="0" t="0" r="0" b="0"/>
                      <wp:wrapNone/>
                      <wp:docPr id="221" name="Frame22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45465" cy="175260"/>
                      <wp:effectExtent l="0" t="0" r="0" b="0"/>
                      <wp:wrapNone/>
                      <wp:docPr id="222" name="Frame22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8280" cy="175260"/>
                      <wp:effectExtent l="0" t="0" r="0" b="0"/>
                      <wp:wrapNone/>
                      <wp:docPr id="224" name="Frame22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74065" cy="175260"/>
                      <wp:effectExtent l="0" t="0" r="0" b="0"/>
                      <wp:wrapNone/>
                      <wp:docPr id="225" name="Frame224"/>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8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6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center"/>
              <w:rPr/>
            </w:pPr>
            <w:r>
              <w:rPr/>
              <w:t>​</w:t>
            </w:r>
          </w:p>
        </w:tc>
      </w:tr>
      <w:tr>
        <w:trPr/>
        <w:tc>
          <w:tcPr>
            <w:tcW w:w="4883"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pPr>
            <w:r>
              <w:rPr/>
              <w:t>—</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swaps</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right"/>
              <w:rPr/>
            </w:pPr>
            <w:r>
              <w:rPr/>
              <w:t>—</w:t>
            </w:r>
          </w:p>
        </w:tc>
      </w:tr>
      <w:tr>
        <w:trPr/>
        <w:tc>
          <w:tcPr>
            <w:tcW w:w="4883"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pPr>
            <w:r>
              <w:rPr/>
              <w:t>—</w:t>
            </w:r>
          </w:p>
        </w:tc>
      </w:tr>
      <w:tr>
        <w:trPr/>
        <w:tc>
          <w:tcPr>
            <w:tcW w:w="48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left"/>
              <w:rPr/>
            </w:pPr>
            <w:r>
              <w:rPr/>
              <w:t>​</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not designated as cash flow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left"/>
              <w:rPr/>
            </w:pPr>
            <w:r>
              <w:rPr/>
              <w:t>​</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21,476</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assets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24,446</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r>
      <w:tr>
        <w:trPr/>
        <w:tc>
          <w:tcPr>
            <w:tcW w:w="48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left"/>
              <w:rPr/>
            </w:pPr>
            <w:r>
              <w:rPr/>
              <w:t>​</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designated as cash flow hedging instruments: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center"/>
              <w:rPr/>
            </w:pPr>
            <w:r>
              <w:rPr/>
              <w:t>​</w:t>
            </w:r>
          </w:p>
        </w:tc>
      </w:tr>
      <w:tr>
        <w:trPr/>
        <w:tc>
          <w:tcPr>
            <w:tcW w:w="488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swaps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w:t>
            </w:r>
          </w:p>
        </w:tc>
      </w:tr>
      <w:tr>
        <w:trPr/>
        <w:tc>
          <w:tcPr>
            <w:tcW w:w="488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17,906</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26,251</w:t>
            </w:r>
          </w:p>
        </w:tc>
      </w:tr>
      <w:tr>
        <w:trPr/>
        <w:tc>
          <w:tcPr>
            <w:tcW w:w="48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left"/>
              <w:rPr/>
            </w:pPr>
            <w:r>
              <w:rPr/>
              <w:t>​</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not designated as cash flow hedging instruments: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left"/>
              <w:rPr/>
            </w:pPr>
            <w:r>
              <w:rPr/>
              <w:t>​</w:t>
            </w:r>
          </w:p>
        </w:tc>
      </w:tr>
      <w:tr>
        <w:trPr/>
        <w:tc>
          <w:tcPr>
            <w:tcW w:w="48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r>
      <w:tr>
        <w:trPr/>
        <w:tc>
          <w:tcPr>
            <w:tcW w:w="48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346"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28,600</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1 – The fair value of coffee futures contracts excludes amounts related to margin accounts.</w:t>
      </w:r>
    </w:p>
    <w:p>
      <w:pPr>
        <w:pStyle w:val="TextBody"/>
        <w:pBdr/>
        <w:bidi w:val="0"/>
        <w:spacing w:before="0" w:after="240"/>
        <w:ind w:left="0" w:right="0" w:hanging="288"/>
        <w:jc w:val="left"/>
        <w:rPr>
          <w:rFonts w:ascii="Times New Roman;Times;serif" w:hAnsi="Times New Roman;Times;serif"/>
          <w:sz w:val="16"/>
        </w:rPr>
      </w:pPr>
      <w:r>
        <w:rPr>
          <w:rFonts w:ascii="Times New Roman;Times;serif" w:hAnsi="Times New Roman;Times;serif"/>
          <w:sz w:val="16"/>
        </w:rPr>
        <w:t>2 – Options contracts include counterparty netting.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pre-tax net gains and losses for our derivative instruments for the three and six months ended June 30, 2026 and 2025,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47"/>
        <w:gridCol w:w="346"/>
        <w:gridCol w:w="1533"/>
        <w:gridCol w:w="346"/>
        <w:gridCol w:w="217"/>
        <w:gridCol w:w="674"/>
        <w:gridCol w:w="356"/>
        <w:gridCol w:w="217"/>
        <w:gridCol w:w="696"/>
        <w:gridCol w:w="346"/>
        <w:gridCol w:w="211"/>
        <w:gridCol w:w="676"/>
        <w:gridCol w:w="346"/>
        <w:gridCol w:w="211"/>
        <w:gridCol w:w="783"/>
      </w:tblGrid>
      <w:tr>
        <w:trPr/>
        <w:tc>
          <w:tcPr>
            <w:tcW w:w="3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61845" cy="175260"/>
                      <wp:effectExtent l="0" t="0" r="0" b="0"/>
                      <wp:wrapNone/>
                      <wp:docPr id="226" name="Frame225"/>
                      <a:graphic xmlns:a="http://schemas.openxmlformats.org/drawingml/2006/main">
                        <a:graphicData uri="http://schemas.microsoft.com/office/word/2010/wordprocessingShape">
                          <wps:wsp>
                            <wps:cNvSpPr txBox="1"/>
                            <wps:spPr>
                              <a:xfrm>
                                <a:off x="0" y="0"/>
                                <a:ext cx="2061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73455" cy="175260"/>
                      <wp:effectExtent l="0" t="0" r="0" b="0"/>
                      <wp:wrapNone/>
                      <wp:docPr id="228" name="Frame227"/>
                      <a:graphic xmlns:a="http://schemas.openxmlformats.org/drawingml/2006/main">
                        <a:graphicData uri="http://schemas.microsoft.com/office/word/2010/wordprocessingShape">
                          <wps:wsp>
                            <wps:cNvSpPr txBox="1"/>
                            <wps:spPr>
                              <a:xfrm>
                                <a:off x="0" y="0"/>
                                <a:ext cx="973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7795" cy="175260"/>
                      <wp:effectExtent l="0" t="0" r="0" b="0"/>
                      <wp:wrapNone/>
                      <wp:docPr id="230" name="Frame22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7990" cy="175260"/>
                      <wp:effectExtent l="0" t="0" r="0" b="0"/>
                      <wp:wrapNone/>
                      <wp:docPr id="231" name="Frame230"/>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6060" cy="175260"/>
                      <wp:effectExtent l="0" t="0" r="0" b="0"/>
                      <wp:wrapNone/>
                      <wp:docPr id="232" name="Frame23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7795" cy="175260"/>
                      <wp:effectExtent l="0" t="0" r="0" b="0"/>
                      <wp:wrapNone/>
                      <wp:docPr id="233" name="Frame23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41960" cy="175260"/>
                      <wp:effectExtent l="0" t="0" r="0" b="0"/>
                      <wp:wrapNone/>
                      <wp:docPr id="234" name="Frame23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37"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7205" cy="175260"/>
                      <wp:effectExtent l="0" t="0" r="0" b="0"/>
                      <wp:wrapNone/>
                      <wp:docPr id="240" name="Frame23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24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5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Operations Location</w:t>
            </w:r>
          </w:p>
        </w:tc>
        <w:tc>
          <w:tcPr>
            <w:tcW w:w="346" w:type="dxa"/>
            <w:tcBorders/>
            <w:vAlign w:val="center"/>
          </w:tcPr>
          <w:p>
            <w:pPr>
              <w:pStyle w:val="TableContents"/>
              <w:bidi w:val="0"/>
              <w:spacing w:before="0" w:after="1"/>
              <w:ind w:left="0" w:right="0" w:hanging="0"/>
              <w:jc w:val="left"/>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1"/>
              <w:ind w:left="0" w:right="0" w:hanging="0"/>
              <w:jc w:val="left"/>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53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center"/>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center"/>
              <w:rPr/>
            </w:pPr>
            <w:r>
              <w:rPr/>
              <w:t>​</w:t>
            </w:r>
          </w:p>
        </w:tc>
      </w:tr>
      <w:tr>
        <w:trPr/>
        <w:tc>
          <w:tcPr>
            <w:tcW w:w="3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realized gains (losses) on coffee derivatives</w:t>
            </w:r>
          </w:p>
        </w:tc>
        <w:tc>
          <w:tcPr>
            <w:tcW w:w="346" w:type="dxa"/>
            <w:tcBorders/>
            <w:vAlign w:val="center"/>
          </w:tcPr>
          <w:p>
            <w:pPr>
              <w:pStyle w:val="TableContents"/>
              <w:bidi w:val="0"/>
              <w:spacing w:before="0" w:after="1"/>
              <w:ind w:left="0" w:right="0" w:hanging="0"/>
              <w:jc w:val="left"/>
              <w:rPr/>
            </w:pPr>
            <w:r>
              <w:rPr/>
              <w:t>​</w:t>
            </w:r>
          </w:p>
        </w:tc>
        <w:tc>
          <w:tcPr>
            <w:tcW w:w="153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9,510</w:t>
            </w:r>
          </w:p>
        </w:tc>
        <w:tc>
          <w:tcPr>
            <w:tcW w:w="35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22,283</w:t>
            </w:r>
          </w:p>
        </w:tc>
      </w:tr>
      <w:tr>
        <w:trPr/>
        <w:tc>
          <w:tcPr>
            <w:tcW w:w="324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3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r>
      <w:tr>
        <w:trPr/>
        <w:tc>
          <w:tcPr>
            <w:tcW w:w="324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and liabilities not designated as cash flow hedging instruments:</w:t>
            </w:r>
          </w:p>
        </w:tc>
        <w:tc>
          <w:tcPr>
            <w:tcW w:w="346" w:type="dxa"/>
            <w:tcBorders/>
            <w:vAlign w:val="center"/>
          </w:tcPr>
          <w:p>
            <w:pPr>
              <w:pStyle w:val="TableContents"/>
              <w:bidi w:val="0"/>
              <w:spacing w:before="0" w:after="1"/>
              <w:ind w:left="0" w:right="0" w:hanging="0"/>
              <w:jc w:val="left"/>
              <w:rPr/>
            </w:pPr>
            <w:r>
              <w:rPr/>
              <w:t>​</w:t>
            </w:r>
          </w:p>
        </w:tc>
        <w:tc>
          <w:tcPr>
            <w:tcW w:w="15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r>
      <w:tr>
        <w:trPr/>
        <w:tc>
          <w:tcPr>
            <w:tcW w:w="3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gains (losses) on forward sales and purchase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53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w:t>
            </w:r>
          </w:p>
        </w:tc>
        <w:tc>
          <w:tcPr>
            <w:tcW w:w="35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14,190</w:t>
            </w:r>
          </w:p>
        </w:tc>
      </w:tr>
    </w:tbl>
    <w:p>
      <w:pPr>
        <w:pStyle w:val="TextBody"/>
        <w:pBdr/>
        <w:bidi w:val="0"/>
        <w:spacing w:before="0" w:after="240"/>
        <w:ind w:left="0" w:right="0" w:hanging="288"/>
        <w:jc w:val="left"/>
        <w:rPr/>
      </w:pPr>
      <w:r>
        <w:rPr/>
        <w:t>​</w:t>
      </w:r>
    </w:p>
    <w:p>
      <w:pPr>
        <w:pStyle w:val="TextBody"/>
        <w:bidi w:val="0"/>
        <w:spacing w:before="240" w:after="240"/>
        <w:ind w:left="0" w:right="0" w:hanging="0"/>
        <w:jc w:val="left"/>
        <w:rPr>
          <w:rFonts w:ascii="Times New Roman;Times;serif" w:hAnsi="Times New Roman;Times;serif"/>
          <w:b/>
          <w:sz w:val="20"/>
        </w:rPr>
      </w:pPr>
      <w:bookmarkStart w:id="1108" w:name="Note14FairValueMeasurements_1544"/>
      <w:bookmarkEnd w:id="1108"/>
      <w:r>
        <w:rPr>
          <w:rFonts w:ascii="Times New Roman;Times;serif" w:hAnsi="Times New Roman;Times;serif"/>
          <w:b/>
          <w:sz w:val="20"/>
        </w:rPr>
        <w:t>Note 13.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xml:space="preserve">, defines fair value as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09" w:name="Tc_rcLroya3FkWR3CtZBL-yKw_13_11"/>
      <w:bookmarkStart w:id="1110" w:name="Tc_2k7y3cVdzkagMp8-4r8KOw_13_9"/>
      <w:bookmarkStart w:id="1111" w:name="Tc_b-9wBj-YGEySAwK2QZdB2Q_13_8"/>
      <w:bookmarkStart w:id="1112" w:name="Tc_ovWa1M2Qs02HuPUalV7qDA_13_5"/>
      <w:bookmarkStart w:id="1113" w:name="Tc_grfrdAkXJkuLpDK7ZFRAxA_13_3"/>
      <w:bookmarkStart w:id="1114" w:name="Tc_W8JQxohlnEOT_WSHIqMfxA_13_2"/>
      <w:bookmarkStart w:id="1115" w:name="Tc__3W0sElkoE-v-YvdKhwwiA_13_0"/>
      <w:bookmarkStart w:id="1116" w:name="Tc_8TZVKPNXPUS-hKKzQMlukQ_12_9"/>
      <w:bookmarkStart w:id="1117" w:name="Tc__Wyh595hNkqgvZPIbUoB6w_12_3"/>
      <w:bookmarkStart w:id="1118" w:name="Tc_r3QJbL8ib0mDADHLskOuEQ_12_0"/>
      <w:bookmarkStart w:id="1119" w:name="Tc_sh3-8VN-dkWoi_uVP148qg_11_0"/>
      <w:bookmarkStart w:id="1120" w:name="Tc_NPZ-hJC2DUq_PwrRVFOFMA_9_11"/>
      <w:bookmarkStart w:id="1121" w:name="Tc_Ibqrhe_xx0msxDB38sIFOQ_9_9"/>
      <w:bookmarkStart w:id="1122" w:name="Tc_eGYri8Llu0iCjicJSiqhQw_9_8"/>
      <w:bookmarkStart w:id="1123" w:name="Tc_dd2V5GFM3Ey6jF_-dxnukQ_9_5"/>
      <w:bookmarkStart w:id="1124" w:name="Tc_28zj_E0q1U6S1YAtKgx-9w_9_2"/>
      <w:bookmarkStart w:id="1125" w:name="Tc_LiANqhUbkEKm5KW0-kInHg_9_0"/>
      <w:bookmarkStart w:id="1126" w:name="Tc_M0s7cC282Uar1OJybnpKwQ_8_9"/>
      <w:bookmarkStart w:id="1127" w:name="Tc_R7Io_wMQpEm3Cad9-ymE4A_8_3"/>
      <w:bookmarkStart w:id="1128" w:name="Tc_KXd8Qq_Hjk-FdtRhBht_iA_8_0"/>
      <w:bookmarkStart w:id="1129" w:name="Tc_P22olMk88EyhIW-MUbefAA_7_9"/>
      <w:bookmarkStart w:id="1130" w:name="Tc_2dTuN-FSVE6KxdSTnQWuQA_7_6"/>
      <w:bookmarkStart w:id="1131" w:name="Tc_nupdQekrJUy6A7JN4sd3Jw_7_0"/>
      <w:bookmarkStart w:id="1132" w:name="Tc_Jevs3M0rMUSotVCmS2ewkw_6_9"/>
      <w:bookmarkStart w:id="1133" w:name="Tc_401dvz8cCE2rIkE5Z09MLA_6_3"/>
      <w:bookmarkStart w:id="1134" w:name="Tc_ezREE01wv0ydD8iW_I_EiQ_6_0"/>
      <w:bookmarkStart w:id="1135" w:name="Tc_hntgCt-3nkSWRURKK4XxnA_5_9"/>
      <w:bookmarkStart w:id="1136" w:name="Tc_Zoo9rhLHR02go04RwYhTYA_5_6"/>
      <w:bookmarkStart w:id="1137" w:name="Tc_2NYtnnGjYUuYl1pJDZ5k4w_5_0"/>
      <w:bookmarkStart w:id="1138" w:name="Tc_f76gVZZHyk-B1xARbJs8Bg_4_11"/>
      <w:bookmarkStart w:id="1139" w:name="Tc_cAqTOmz2IEm-VqOtdIl09w_4_9"/>
      <w:bookmarkStart w:id="1140" w:name="Tc_ETPgEYf0uEqk_s18-hEMJA_4_8"/>
      <w:bookmarkStart w:id="1141" w:name="Tc_jbufZMYaTkSqzV599uCaFw_4_5"/>
      <w:bookmarkStart w:id="1142" w:name="Tc_ixTihrNhykqImw7ULkvEWQ_4_3"/>
      <w:bookmarkStart w:id="1143" w:name="Tc_EPd3YPLiIkOiMApVatsFVQ_4_2"/>
      <w:bookmarkStart w:id="1144" w:name="Tc_uocSoUjNQ02CZsKjc0i9Dg_4_0"/>
      <w:bookmarkStart w:id="1145" w:name="Tc_ZXemKmTF5kKVwUpVuqW35Q_3_0"/>
      <w:bookmarkStart w:id="1146" w:name="Tc_vNBwQzjg30eC5nDUHZz3pg_2_11"/>
      <w:bookmarkStart w:id="1147" w:name="Tc_lLw3OT0SrE-4hHgQpx1hVw_2_8"/>
      <w:bookmarkStart w:id="1148" w:name="Tc_NrP7NH9_qkG7pYwvxVMinA_2_5"/>
      <w:bookmarkStart w:id="1149" w:name="Tc_7XbagwzZBkq1gxc8TCw2Yw_2_2"/>
      <w:bookmarkStart w:id="1150" w:name="Tc_ioiCNFG92k-HvX2gqWkbBA_2_0"/>
      <w:bookmarkStart w:id="1151" w:name="Tc_8GCZKrAalkCwUAKbEtLMyQ_1_2"/>
      <w:bookmarkStart w:id="1152" w:name="_3f3ea832_7fa7_4504_93f3_53f39592c687"/>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sz w:val="20"/>
        </w:rPr>
        <w:t>prioritized based on a three-level hierarchy. This hierarchy requires entities to maximize the use of observable inputs and minimize the use of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groups its assets and liabilities at fair value in three levels, based on the markets in which the assets and liabilities are traded, and the reliability of the assumptions used to determine fair value. These levels are:</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1—Valuation is based upon quoted prices for identical instruments traded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fair value of financial instruments at June 30, 2026:</w:t>
      </w:r>
    </w:p>
    <w:p>
      <w:pPr>
        <w:pStyle w:val="TextBody"/>
        <w:bidi w:val="0"/>
        <w:spacing w:before="0" w:after="0"/>
        <w:ind w:left="0" w:right="0" w:hanging="0"/>
        <w:jc w:val="left"/>
        <w:rPr/>
      </w:pPr>
      <w:r>
        <w:rPr/>
        <w:t>​</w:t>
      </w:r>
    </w:p>
    <w:tbl>
      <w:tblPr>
        <w:tblW w:w="7538" w:type="dxa"/>
        <w:jc w:val="left"/>
        <w:tblInd w:w="0" w:type="dxa"/>
        <w:tblLayout w:type="fixed"/>
        <w:tblCellMar>
          <w:top w:w="0" w:type="dxa"/>
          <w:left w:w="0" w:type="dxa"/>
          <w:bottom w:w="0" w:type="dxa"/>
          <w:right w:w="0" w:type="dxa"/>
        </w:tblCellMar>
      </w:tblPr>
      <w:tblGrid>
        <w:gridCol w:w="3871"/>
        <w:gridCol w:w="109"/>
        <w:gridCol w:w="211"/>
        <w:gridCol w:w="571"/>
        <w:gridCol w:w="109"/>
        <w:gridCol w:w="211"/>
        <w:gridCol w:w="676"/>
        <w:gridCol w:w="109"/>
        <w:gridCol w:w="239"/>
        <w:gridCol w:w="391"/>
        <w:gridCol w:w="109"/>
        <w:gridCol w:w="211"/>
        <w:gridCol w:w="72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458085" cy="175260"/>
                      <wp:effectExtent l="0" t="0" r="0" b="0"/>
                      <wp:wrapNone/>
                      <wp:docPr id="241" name="Frame24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2585" cy="175260"/>
                      <wp:effectExtent l="0" t="0" r="0" b="0"/>
                      <wp:wrapNone/>
                      <wp:docPr id="244" name="Frame2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29260" cy="175260"/>
                      <wp:effectExtent l="0" t="0" r="0" b="0"/>
                      <wp:wrapNone/>
                      <wp:docPr id="247" name="Frame2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1765" cy="175260"/>
                      <wp:effectExtent l="0" t="0" r="0" b="0"/>
                      <wp:wrapNone/>
                      <wp:docPr id="249" name="Frame2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48285" cy="175260"/>
                      <wp:effectExtent l="0" t="0" r="0" b="0"/>
                      <wp:wrapNone/>
                      <wp:docPr id="250" name="Frame24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57835" cy="175260"/>
                      <wp:effectExtent l="0" t="0" r="0" b="0"/>
                      <wp:wrapNone/>
                      <wp:docPr id="253" name="Frame2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5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66,777</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66,777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swaps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21,476</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89,870</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91,223</w: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7,440</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1 – Options contracts include counterparty netting.</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53" w:name="Tc_0RccdIp39UeUx1gGQ5gjVA_13_11"/>
      <w:bookmarkStart w:id="1154" w:name="Tc_InjYg0lr1kSRFaj9O8MDWg_13_9"/>
      <w:bookmarkStart w:id="1155" w:name="Tc_kxlXv0NHwU-TF8lkG3iSVw_13_8"/>
      <w:bookmarkStart w:id="1156" w:name="Tc_PDhAgqrB5E2DlzVrI8Irew_13_5"/>
      <w:bookmarkStart w:id="1157" w:name="Tc_1N1qNdvkgU6Y0LYZsWGxgw_13_2"/>
      <w:bookmarkStart w:id="1158" w:name="Tc_vZykGQyXNUK6xjmRz43D5g_13_0"/>
      <w:bookmarkStart w:id="1159" w:name="Tc_DRnGhAAqYEeNK_7aN4BBrw_12_9"/>
      <w:bookmarkStart w:id="1160" w:name="Tc_35TBPsbwrkOfN9Mggz7eDA_12_3"/>
      <w:bookmarkStart w:id="1161" w:name="Tc_baITk2wPQUK-rCTYM_z7Xw_12_0"/>
      <w:bookmarkStart w:id="1162" w:name="Tc_HIAS4M90WUarlEQnWIBh-A_11_9"/>
      <w:bookmarkStart w:id="1163" w:name="Tc_TnGdyReHVUCIrPVnWkgrMA_11_0"/>
      <w:bookmarkStart w:id="1164" w:name="Tc_ONOKcSBYHEG6h2wTpjsOBw_10_9"/>
      <w:bookmarkStart w:id="1165" w:name="Tc_cP8XJLTcQEetbGCXT32ggw_10_3"/>
      <w:bookmarkStart w:id="1166" w:name="Tc_Uw54KGpeF02QI8T0oMfMFA_10_0"/>
      <w:bookmarkStart w:id="1167" w:name="Tc_LWxnbKkeIEyD1NhkS_IeNg_9_11"/>
      <w:bookmarkStart w:id="1168" w:name="Tc_xb2ld5yWWEmhKnsIUA7RwQ_9_9"/>
      <w:bookmarkStart w:id="1169" w:name="Tc_lT3f3iCtrkeD56d9AW7Vwg_9_8"/>
      <w:bookmarkStart w:id="1170" w:name="Tc_oMdIS1j_LEePDx8FsXj4RQ_9_6"/>
      <w:bookmarkStart w:id="1171" w:name="Tc_qYbl8b-HUUaqsGyYF7v2vQ_9_5"/>
      <w:bookmarkStart w:id="1172" w:name="Tc_ch6vatSEb0Gph1uDhCgUmQ_9_2"/>
      <w:bookmarkStart w:id="1173" w:name="Tc_dnRWNkhUeEa1L_FIaPq6GQ_9_0"/>
      <w:bookmarkStart w:id="1174" w:name="Tc_YNKnj4i4XU6_--9AJ68Pag_8_0"/>
      <w:bookmarkStart w:id="1175" w:name="Tc_yVMkIMYH3kCRG27ilsp1ow_6_11"/>
      <w:bookmarkStart w:id="1176" w:name="Tc_8efGDHSmgUKSENu5ZjuXdg_6_9"/>
      <w:bookmarkStart w:id="1177" w:name="Tc_LwC6Tm8PhEC4ktqPDyiHvA_6_8"/>
      <w:bookmarkStart w:id="1178" w:name="Tc_I06p-i_vck2soTvkF6d54g_6_5"/>
      <w:bookmarkStart w:id="1179" w:name="Tc_rJBK8aFlekqsinvGyyPMqg_6_3"/>
      <w:bookmarkStart w:id="1180" w:name="Tc_eOg5SZMrHkaRZACUyoCapw_6_2"/>
      <w:bookmarkStart w:id="1181" w:name="Tc_B-nkruLlqUm9hmjbDrFs0w_6_0"/>
      <w:bookmarkStart w:id="1182" w:name="Tc_3GUelPKxKEqhChMKVdl40Q_5_9"/>
      <w:bookmarkStart w:id="1183" w:name="Tc_t8iRI_6qx0OwHPfNSJ539w_5_3"/>
      <w:bookmarkStart w:id="1184" w:name="Tc_Qmzco-aF5U2T5ZHQOoCEgA_5_0"/>
      <w:bookmarkStart w:id="1185" w:name="Tc_dG_h0GObhEGc102E6R0YCA_4_11"/>
      <w:bookmarkStart w:id="1186" w:name="Tc_aLrdXHW_xU-n7o3JbVhh3Q_4_9"/>
      <w:bookmarkStart w:id="1187" w:name="Tc_mwcn8M_OWE6AZaW9IuwBaQ_4_8"/>
      <w:bookmarkStart w:id="1188" w:name="Tc_-aXSvGrC9EqerjZcpQJzFg_4_5"/>
      <w:bookmarkStart w:id="1189" w:name="Tc_vKwnN40n2UG7m0BVnbS_KA_4_3"/>
      <w:bookmarkStart w:id="1190" w:name="Tc_big3AtjR7kydaQIfErcEcA_4_2"/>
      <w:bookmarkStart w:id="1191" w:name="Tc_Pg-LmFsYKEiR2TZNRs0mvg_4_0"/>
      <w:bookmarkStart w:id="1192" w:name="Tc_JUzWT1xX1U2A3KoWC789Pw_3_0"/>
      <w:bookmarkStart w:id="1193" w:name="Tc_Vd8aLq8k0UGVl9ZI-ML-7g_2_11"/>
      <w:bookmarkStart w:id="1194" w:name="Tc_1bhj-Vbhb0eXoU7FXbNIyg_2_8"/>
      <w:bookmarkStart w:id="1195" w:name="Tc_CAWGuASQk0CjiY-mRjWAog_2_5"/>
      <w:bookmarkStart w:id="1196" w:name="Tc_ZT2V8rgzWUSxR7CRPxIisg_2_2"/>
      <w:bookmarkStart w:id="1197" w:name="Tc_X2-Y_Y4u-0WixOGGSL_r0Q_2_0"/>
      <w:bookmarkStart w:id="1198" w:name="Tc_HO-ssqoQ0Ei2VaGRLsOHew_1_2"/>
      <w:bookmarkStart w:id="1199" w:name="_70085dfa_5ba8_4b81_b034_475c37d7bf67"/>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sz w:val="20"/>
        </w:rPr>
        <w:t>The following table summarizes the fair value of financial instruments at December 31, 2025:</w:t>
      </w:r>
    </w:p>
    <w:p>
      <w:pPr>
        <w:pStyle w:val="TextBody"/>
        <w:bidi w:val="0"/>
        <w:spacing w:before="0" w:after="0"/>
        <w:ind w:left="0" w:right="0" w:hanging="0"/>
        <w:jc w:val="left"/>
        <w:rPr/>
      </w:pPr>
      <w:r>
        <w:rPr/>
        <w:t>​</w:t>
      </w:r>
    </w:p>
    <w:tbl>
      <w:tblPr>
        <w:tblW w:w="7598" w:type="dxa"/>
        <w:jc w:val="left"/>
        <w:tblInd w:w="0" w:type="dxa"/>
        <w:tblLayout w:type="fixed"/>
        <w:tblCellMar>
          <w:top w:w="0" w:type="dxa"/>
          <w:left w:w="0" w:type="dxa"/>
          <w:bottom w:w="0" w:type="dxa"/>
          <w:right w:w="0" w:type="dxa"/>
        </w:tblCellMar>
      </w:tblPr>
      <w:tblGrid>
        <w:gridCol w:w="3871"/>
        <w:gridCol w:w="109"/>
        <w:gridCol w:w="211"/>
        <w:gridCol w:w="571"/>
        <w:gridCol w:w="109"/>
        <w:gridCol w:w="211"/>
        <w:gridCol w:w="676"/>
        <w:gridCol w:w="109"/>
        <w:gridCol w:w="239"/>
        <w:gridCol w:w="39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58085" cy="175260"/>
                      <wp:effectExtent l="0" t="0" r="0" b="0"/>
                      <wp:wrapNone/>
                      <wp:docPr id="254" name="Frame25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7" name="Frame2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29260" cy="175260"/>
                      <wp:effectExtent l="0" t="0" r="0" b="0"/>
                      <wp:wrapNone/>
                      <wp:docPr id="260" name="Frame2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1765" cy="175260"/>
                      <wp:effectExtent l="0" t="0" r="0" b="0"/>
                      <wp:wrapNone/>
                      <wp:docPr id="262" name="Frame26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48285" cy="175260"/>
                      <wp:effectExtent l="0" t="0" r="0" b="0"/>
                      <wp:wrapNone/>
                      <wp:docPr id="263" name="Frame26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95935" cy="175260"/>
                      <wp:effectExtent l="0" t="0" r="0" b="0"/>
                      <wp:wrapNone/>
                      <wp:docPr id="266" name="Frame2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75,335</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75,335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90,384</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90,384</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swaps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w:t>
            </w:r>
          </w:p>
        </w:tc>
      </w:tr>
      <w:tr>
        <w:trPr/>
        <w:tc>
          <w:tcPr>
            <w:tcW w:w="38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16,800</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27,384</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28,600</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1 – Options contracts include counterparty netting.</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Financial instruments consist primarily of cash, accounts receivable, accounts payable, supply chain finance program obligations, inventory repurchase obligations,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Condensed Consolidated Balance Sheets at amortized cost and are estimated by management to approximate fair value as of June 30, 2026, as the interest rate on these facilities is adjusted for changes in the market rates. The fair value of the Term Loan Facility, Delayed Draw Term Loan Facility and Revolving Credit Facility was determined based on Level 2 inputs under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Coffee futures contracts and coffee options are valued based on quoted market prices. The estimated fair value for green coffee inventories associated with forward contracts, commodity swaps, OTC options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commodity swaps, OTC options contracts and forward sales and purchase contracts are classified within Level 2 of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Convertible Notes are carried on the Condensed Consolidated Balance Sheets at amortized cost. The estimated fair value of the Convertible Notes as of June 30, 2026 was $69.1 million and $50.0 million, respectively, and was determined using a binomial lattice model, which is considered to be a Level 3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Non-financial assets and liabilities, including property, plant and equipment, goodwill and intangible assets are measured at fair value on a non-recurring basis. No events occurred during the three and six months ended June 30, 2026 or 2025, requiring these non-financial assets and liabilities to be subsequently recognized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2026, the Company had an equity investment with a carrying value of approximately $1.0 million, for which there is no readily determinable fair value. This investment is recorded at cost within other long-term assets on the Condensed Consolidated Balance Sheets. As of June 30, 2026, there have been no adjustments, upward or downward, to the carrying value.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00" w:name="Tc_CQ8b_bfkPUygO9qWbl9nDw_15_11"/>
      <w:bookmarkStart w:id="1201" w:name="Tc_rLtYb3uiK0ecROoksEmbEg_15_8"/>
      <w:bookmarkStart w:id="1202" w:name="Tc_rpak3MSEE0iRuWHwTiGo3Q_15_5"/>
      <w:bookmarkStart w:id="1203" w:name="Tc_X9UZtFfW4UGMaPQl7Qk2cg_15_2"/>
      <w:bookmarkStart w:id="1204" w:name="Tc_dx8M-X-QJkqnfQmBCJHZIg_15_0"/>
      <w:bookmarkStart w:id="1205" w:name="Tc_kRpU0dafVk6T5PddGzjlBw_14_0"/>
      <w:bookmarkStart w:id="1206" w:name="Tc_GRpZPLagl0CFhUxFP_Gxvg_13_12"/>
      <w:bookmarkStart w:id="1207" w:name="Tc_sAVZAuJ4BEiYOp18SB8X8A_13_9"/>
      <w:bookmarkStart w:id="1208" w:name="Tc_QO95NuqrM0ie7Ka60kdhfQ_13_6"/>
      <w:bookmarkStart w:id="1209" w:name="Tc_bNHUYbDOiUqwwxpx1C9sFg_13_3"/>
      <w:bookmarkStart w:id="1210" w:name="Tc_yFURzTEyPkiHi-bDBStroQ_13_0"/>
      <w:bookmarkStart w:id="1211" w:name="Tc_Ob3KxdQQOEOe2H9PD99EQA_12_0"/>
      <w:bookmarkStart w:id="1212" w:name="Tc_NaUuRy-UrkOkW70a2w44XQ_11_3"/>
      <w:bookmarkStart w:id="1213" w:name="Tc_t-yUOxc3Y06gf3WqiMKadw_11_0"/>
      <w:bookmarkStart w:id="1214" w:name="Tc_thQ25Iq6fESXjASw3eWwfQ_10_0"/>
      <w:bookmarkStart w:id="1215" w:name="Tc_QY2MaGe9fEypIh7FOZ2e5Q_9_0"/>
      <w:bookmarkStart w:id="1216" w:name="Tc_q1RuPqC2QE6v3ADXSJRSNQ_8_0"/>
      <w:bookmarkStart w:id="1217" w:name="Tc_A5LxQspxRUm0BQ12h6m3Vg_7_0"/>
      <w:bookmarkStart w:id="1218" w:name="Tc_Dy-ZvzdjY0WH1Q3c5gHKuQ_6_0"/>
      <w:bookmarkStart w:id="1219" w:name="Tc_HddWMAAw7k-A7FB-vFyYuQ_5_0"/>
      <w:bookmarkStart w:id="1220" w:name="Tc__XWhE138VE6gXNL3WTaGuA_4_11"/>
      <w:bookmarkStart w:id="1221" w:name="Tc_0UXFojp0WkSiRu1Ns5mY6A_4_8"/>
      <w:bookmarkStart w:id="1222" w:name="Tc_tZrF6LrQtUiZznoMHyRTIA_4_5"/>
      <w:bookmarkStart w:id="1223" w:name="Tc_hkXzBgmXpEGpJUsAeKc3bA_4_2"/>
      <w:bookmarkStart w:id="1224" w:name="Tc_XosbLQL-fUOm8NDbdI9lfw_4_0"/>
      <w:bookmarkStart w:id="1225" w:name="Tc_bP3brIqZB0Cd93QseOCMqQ_3_0"/>
      <w:bookmarkStart w:id="1226" w:name="Tc__eEaTnivTE2AO3lH3c7pUQ_2_11"/>
      <w:bookmarkStart w:id="1227" w:name="Tc_6wC7H5wnJ0uWBouemIFcPQ_2_8"/>
      <w:bookmarkStart w:id="1228" w:name="Tc_Y8yvatlO6EqUo-brcsUWEQ_2_5"/>
      <w:bookmarkStart w:id="1229" w:name="Tc_0kkhkLEtl0ars3Ej7p9h2w_2_2"/>
      <w:bookmarkStart w:id="1230" w:name="Tc_axbvOaImOESfTNKQ3Xt9fQ_2_0"/>
      <w:bookmarkStart w:id="1231" w:name="Tc_vG1gkDFqL02cg2nu5NiJhg_1_8"/>
      <w:bookmarkStart w:id="1232" w:name="Tc_Nl1HzbFTdEyHxubNSDEmIQ_1_2"/>
      <w:bookmarkStart w:id="1233" w:name="Note15AccumulatedOtherComprehensiveIncom"/>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ascii="Times New Roman;Times;serif" w:hAnsi="Times New Roman;Times;serif"/>
          <w:b/>
          <w:sz w:val="20"/>
        </w:rPr>
        <w:t>Note 14. Accumulated Other Comprehensive Income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net of tax by component for the three and six months ended June 30, 2026 and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4"/>
        <w:gridCol w:w="346"/>
        <w:gridCol w:w="211"/>
        <w:gridCol w:w="786"/>
        <w:gridCol w:w="346"/>
        <w:gridCol w:w="211"/>
        <w:gridCol w:w="786"/>
        <w:gridCol w:w="346"/>
        <w:gridCol w:w="211"/>
        <w:gridCol w:w="786"/>
        <w:gridCol w:w="346"/>
        <w:gridCol w:w="211"/>
        <w:gridCol w:w="835"/>
      </w:tblGrid>
      <w:tr>
        <w:trPr/>
        <w:tc>
          <w:tcPr>
            <w:tcW w:w="4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037840" cy="175260"/>
                      <wp:effectExtent l="0" t="0" r="0" b="0"/>
                      <wp:wrapNone/>
                      <wp:docPr id="267" name="Frame266"/>
                      <a:graphic xmlns:a="http://schemas.openxmlformats.org/drawingml/2006/main">
                        <a:graphicData uri="http://schemas.microsoft.com/office/word/2010/wordprocessingShape">
                          <wps:wsp>
                            <wps:cNvSpPr txBox="1"/>
                            <wps:spPr>
                              <a:xfrm>
                                <a:off x="0" y="0"/>
                                <a:ext cx="303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99110" cy="175260"/>
                      <wp:effectExtent l="0" t="0" r="0" b="0"/>
                      <wp:wrapNone/>
                      <wp:docPr id="270" name="Frame26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9110" cy="175260"/>
                      <wp:effectExtent l="0" t="0" r="0" b="0"/>
                      <wp:wrapNone/>
                      <wp:docPr id="273" name="Frame27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99110" cy="175260"/>
                      <wp:effectExtent l="0" t="0" r="0" b="0"/>
                      <wp:wrapNone/>
                      <wp:docPr id="276" name="Frame27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30225" cy="175260"/>
                      <wp:effectExtent l="0" t="0" r="0" b="0"/>
                      <wp:wrapNone/>
                      <wp:docPr id="279" name="Frame27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3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8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derivative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center"/>
              <w:rPr/>
            </w:pPr>
            <w:r>
              <w:rPr/>
              <w:t>​</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18,863</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(14,567)</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(22,283)</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(17,903)</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left"/>
              <w:rPr/>
            </w:pPr>
            <w:r>
              <w:rPr/>
              <w:t>​</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7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47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(17,558)</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234" w:name="Note16EquityBasedCompensation"/>
      <w:bookmarkEnd w:id="1234"/>
      <w:r>
        <w:rPr>
          <w:rFonts w:ascii="Times New Roman;Times;serif" w:hAnsi="Times New Roman;Times;serif"/>
          <w:b/>
          <w:sz w:val="20"/>
        </w:rPr>
        <w:t>Note 15. Equity-Based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grants restricted stock units (“RSUs”) under the Westrock Coffee Company 2022 Equity Incentive Plan (the “2022 Equity Plan”). RSUs may contain a service, performance or market condition on which vesting is based.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Service-based RSUs vest in equal installments on anniversaries of the grant date over the explicit service period, which ranges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Company recognizes the expense relating to these units on a straight-line basis over the vesting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RSUs vest upon satisfaction of the Company’s achievement of certain pre-defined performance targets during a stated performance period and are subject to the employee’s continuing employment throughout. The Company recognizes the expense relating to these units over the explicit service period, based on the probability of achievement of the performance targets.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Market-based RSUs vest upon the Company’s achievement of certain stock price targets over a stated measurement period, subject to the employee’s continuing employment throughout. The Company recognizes the expense relating to these units over the derived service period, even if the market condition is not achieved.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recognizes equity-based compensation expense, for its RSU awards, in an amount equal to the grant-date fair value of the respective award. The fair value of service-based RSUs and performance-based RSUs is based on the closing price of the Company’s common stock on the grant date. For market-based RSUs granted during the six months ended June 30, 2026, the Company estimated the fair value of the market-based RSUs on the grant date using a Monte Carlo simulation model with the following assumptions: (i) expected term of 2.6 years, (ii) expected volatility of 54.0% and (iii) risk-free interest rate of 4.0%.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costs associated with service-based RSUs and performance-based RSUs are recognized only for those awards that ultimately vest, whereas compensation costs associated with market-based RSUs are recognized even if the market condition is never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Company granted 1.6 million RSUs with an aggregate fair value of $13.2 million to certain employees and non-employee directors under the 2022 Equity Plan. As of June 30, 2026, there were 3.7 million shares available for future issuance under the 2022 Equity Plan.</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35" w:name="Tc_S8REFSxRh0KcdgrFrw_TXQ_9_14"/>
      <w:bookmarkStart w:id="1236" w:name="Tc__F3yVMe2iEO4e02-n_8AZA_9_9"/>
      <w:bookmarkStart w:id="1237" w:name="Tc_0euPazYpu0uIUAwp6H5Lkw_9_4"/>
      <w:bookmarkStart w:id="1238" w:name="Tc_gF4psf2ok0ScijUeLGQAzQ_9_0"/>
      <w:bookmarkStart w:id="1239" w:name="Tc_5xtOST-sA0qeRUZdVruhcQ_8_15"/>
      <w:bookmarkStart w:id="1240" w:name="Tc_fa_VsXT00ESP9XLar3bJsA_8_12"/>
      <w:bookmarkStart w:id="1241" w:name="Tc_1A8liYugNEq19I0hOEIiww_8_0"/>
      <w:bookmarkStart w:id="1242" w:name="Tc_RMxRnjztrEmr1XFTyRjB_Q_7_0"/>
      <w:bookmarkStart w:id="1243" w:name="Tc_hAY0qh1iqkCMJkfKRXGuEQ_6_10"/>
      <w:bookmarkStart w:id="1244" w:name="Tc_XRLYBliFNEyi7dBCtfRd7w_6_7"/>
      <w:bookmarkStart w:id="1245" w:name="Tc_ick16Y3R10qpu1U9ykuvcA_6_0"/>
      <w:bookmarkStart w:id="1246" w:name="Tc_Y1ov7_7NTUKMKBCA8h2o-A_5_14"/>
      <w:bookmarkStart w:id="1247" w:name="Tc_TyHwOTF3Mk6nqRE8ynCBSw_5_9"/>
      <w:bookmarkStart w:id="1248" w:name="Tc_Gr_0_8vIcEyu2nhpUlAm5g_5_4"/>
      <w:bookmarkStart w:id="1249" w:name="Tc_KhnR2QePdk2aL2aqLKzEuQ_5_0"/>
      <w:bookmarkStart w:id="1250" w:name="Tc_cPW9g7Slnkue9k3IQGx2ig_4_14"/>
      <w:bookmarkStart w:id="1251" w:name="Tc_JqHS5L3ZwECaLyD5U51ijA_4_12"/>
      <w:bookmarkStart w:id="1252" w:name="Tc_mtBIqDVgH0WGK7EmIgIjJQ_4_9"/>
      <w:bookmarkStart w:id="1253" w:name="Tc_o7KpO8oW2USbPk9lV9bcpQ_4_7"/>
      <w:bookmarkStart w:id="1254" w:name="Tc_gIcUBR6HxEWc7seTrPs8sg_4_4"/>
      <w:bookmarkStart w:id="1255" w:name="Tc_FFopJOmCi06oSsMaUdb7GQ_4_2"/>
      <w:bookmarkStart w:id="1256" w:name="Tc_2Dli6gBXS0KllnO99gelFg_3_14"/>
      <w:bookmarkStart w:id="1257" w:name="Tc_lGtIH21syESMsglQuNAkCQ_3_9"/>
      <w:bookmarkStart w:id="1258" w:name="Tc_S_TYI28OIEuBn8X2sgwk7w_3_4"/>
      <w:bookmarkStart w:id="1259" w:name="Tc_VqdLqdAYjkmU9Twp4tJg-A_2_14"/>
      <w:bookmarkStart w:id="1260" w:name="Tc_YcL7hNepek2rhJuzMzgW1A_2_9"/>
      <w:bookmarkStart w:id="1261" w:name="Tc_03mbHm9Mq0KsWHrdjk6eqA_2_4"/>
      <w:bookmarkStart w:id="1262" w:name="Tc_NzioUa1R9kCh43re2G4ltw_1_12"/>
      <w:bookmarkStart w:id="1263" w:name="Tc_9rDRdLuwTECjT86QAbIXSQ_1_7"/>
      <w:bookmarkStart w:id="1264" w:name="Tc_RPPvjg0oYUeE5EFkfx2PhQ_1_2"/>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r>
        <w:rPr>
          <w:rFonts w:ascii="Times New Roman;Times;serif" w:hAnsi="Times New Roman;Times;serif"/>
          <w:sz w:val="20"/>
        </w:rPr>
        <w:t>The following table sets forth the RSU activity under the 2022 Equity Plan for the six months ended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48"/>
        <w:gridCol w:w="109"/>
        <w:gridCol w:w="1141"/>
        <w:gridCol w:w="172"/>
        <w:gridCol w:w="395"/>
        <w:gridCol w:w="821"/>
        <w:gridCol w:w="109"/>
        <w:gridCol w:w="1261"/>
        <w:gridCol w:w="199"/>
        <w:gridCol w:w="395"/>
        <w:gridCol w:w="821"/>
        <w:gridCol w:w="109"/>
        <w:gridCol w:w="1096"/>
        <w:gridCol w:w="165"/>
        <w:gridCol w:w="352"/>
        <w:gridCol w:w="912"/>
      </w:tblGrid>
      <w:tr>
        <w:trPr/>
        <w:tc>
          <w:tcPr>
            <w:tcW w:w="2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63980" cy="175260"/>
                      <wp:effectExtent l="0" t="0" r="0" b="0"/>
                      <wp:wrapNone/>
                      <wp:docPr id="280" name="Frame279"/>
                      <a:graphic xmlns:a="http://schemas.openxmlformats.org/drawingml/2006/main">
                        <a:graphicData uri="http://schemas.microsoft.com/office/word/2010/wordprocessingShape">
                          <wps:wsp>
                            <wps:cNvSpPr txBox="1"/>
                            <wps:spPr>
                              <a:xfrm>
                                <a:off x="0" y="0"/>
                                <a:ext cx="136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24535" cy="175260"/>
                      <wp:effectExtent l="0" t="0" r="0" b="0"/>
                      <wp:wrapNone/>
                      <wp:docPr id="282" name="Frame2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09220" cy="175260"/>
                      <wp:effectExtent l="0" t="0" r="0" b="0"/>
                      <wp:wrapNone/>
                      <wp:docPr id="283" name="Frame282"/>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0825" cy="175260"/>
                      <wp:effectExtent l="0" t="0" r="0" b="0"/>
                      <wp:wrapNone/>
                      <wp:docPr id="284" name="Frame28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21335" cy="175260"/>
                      <wp:effectExtent l="0" t="0" r="0" b="0"/>
                      <wp:wrapNone/>
                      <wp:docPr id="285" name="Frame284"/>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800735" cy="175260"/>
                      <wp:effectExtent l="0" t="0" r="0" b="0"/>
                      <wp:wrapNone/>
                      <wp:docPr id="287" name="Frame28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6365" cy="175260"/>
                      <wp:effectExtent l="0" t="0" r="0" b="0"/>
                      <wp:wrapNone/>
                      <wp:docPr id="288" name="Frame28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50825" cy="175260"/>
                      <wp:effectExtent l="0" t="0" r="0" b="0"/>
                      <wp:wrapNone/>
                      <wp:docPr id="289" name="Frame288"/>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1335" cy="175260"/>
                      <wp:effectExtent l="0" t="0" r="0" b="0"/>
                      <wp:wrapNone/>
                      <wp:docPr id="290" name="Frame28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5960" cy="175260"/>
                      <wp:effectExtent l="0" t="0" r="0" b="0"/>
                      <wp:wrapNone/>
                      <wp:docPr id="292" name="Frame29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04775" cy="175260"/>
                      <wp:effectExtent l="0" t="0" r="0" b="0"/>
                      <wp:wrapNone/>
                      <wp:docPr id="293" name="Frame292"/>
                      <a:graphic xmlns:a="http://schemas.openxmlformats.org/drawingml/2006/main">
                        <a:graphicData uri="http://schemas.microsoft.com/office/word/2010/wordprocessingShape">
                          <wps:wsp>
                            <wps:cNvSpPr txBox="1"/>
                            <wps:spPr>
                              <a:xfrm>
                                <a:off x="0" y="0"/>
                                <a:ext cx="104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23520" cy="175260"/>
                      <wp:effectExtent l="0" t="0" r="0" b="0"/>
                      <wp:wrapNone/>
                      <wp:docPr id="294" name="Frame29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9120" cy="175260"/>
                      <wp:effectExtent l="0" t="0" r="0" b="0"/>
                      <wp:wrapNone/>
                      <wp:docPr id="295" name="Frame29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Service-based Restricted Stock Units</w:t>
            </w:r>
          </w:p>
        </w:tc>
        <w:tc>
          <w:tcPr>
            <w:tcW w:w="109" w:type="dxa"/>
            <w:tcBorders/>
            <w:vAlign w:val="center"/>
          </w:tcPr>
          <w:p>
            <w:pPr>
              <w:pStyle w:val="TableContents"/>
              <w:bidi w:val="0"/>
              <w:spacing w:before="0" w:after="0"/>
              <w:ind w:left="0" w:right="0" w:hanging="0"/>
              <w:jc w:val="left"/>
              <w:rPr/>
            </w:pPr>
            <w:r>
              <w:rPr/>
              <w:t>​</w:t>
            </w:r>
          </w:p>
        </w:tc>
        <w:tc>
          <w:tcPr>
            <w:tcW w:w="267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Performance-based Restricted Stock Units</w:t>
            </w:r>
          </w:p>
        </w:tc>
        <w:tc>
          <w:tcPr>
            <w:tcW w:w="109" w:type="dxa"/>
            <w:tcBorders/>
            <w:vAlign w:val="center"/>
          </w:tcPr>
          <w:p>
            <w:pPr>
              <w:pStyle w:val="TableContents"/>
              <w:bidi w:val="0"/>
              <w:spacing w:before="0" w:after="0"/>
              <w:ind w:left="0" w:right="0" w:hanging="0"/>
              <w:jc w:val="left"/>
              <w:rPr/>
            </w:pPr>
            <w:r>
              <w:rPr/>
              <w:t>​</w:t>
            </w:r>
          </w:p>
        </w:tc>
        <w:tc>
          <w:tcPr>
            <w:tcW w:w="252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Market-based Restricted Stock Units</w:t>
            </w:r>
          </w:p>
        </w:tc>
      </w:tr>
      <w:tr>
        <w:trPr/>
        <w:tc>
          <w:tcPr>
            <w:tcW w:w="21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172"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165" w:type="dxa"/>
            <w:tcBorders/>
            <w:vAlign w:val="center"/>
          </w:tcPr>
          <w:p>
            <w:pPr>
              <w:pStyle w:val="TableContents"/>
              <w:bidi w:val="0"/>
              <w:spacing w:before="0" w:after="0"/>
              <w:ind w:left="0" w:right="0" w:hanging="0"/>
              <w:jc w:val="left"/>
              <w:rPr/>
            </w:pPr>
            <w:r>
              <w:rPr/>
              <w:t>​</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r>
      <w:tr>
        <w:trPr/>
        <w:tc>
          <w:tcPr>
            <w:tcW w:w="21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172"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165" w:type="dxa"/>
            <w:tcBorders/>
            <w:vAlign w:val="center"/>
          </w:tcPr>
          <w:p>
            <w:pPr>
              <w:pStyle w:val="TableContents"/>
              <w:bidi w:val="0"/>
              <w:spacing w:before="0" w:after="0"/>
              <w:ind w:left="0" w:right="0" w:hanging="0"/>
              <w:jc w:val="left"/>
              <w:rPr/>
            </w:pPr>
            <w:r>
              <w:rPr/>
              <w:t>​</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r>
      <w:tr>
        <w:trPr/>
        <w:tc>
          <w:tcPr>
            <w:tcW w:w="21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72"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9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65" w:type="dxa"/>
            <w:tcBorders/>
            <w:vAlign w:val="center"/>
          </w:tcPr>
          <w:p>
            <w:pPr>
              <w:pStyle w:val="TableContents"/>
              <w:bidi w:val="0"/>
              <w:spacing w:before="0" w:after="0"/>
              <w:ind w:left="0" w:right="0" w:hanging="0"/>
              <w:jc w:val="left"/>
              <w:rPr/>
            </w:pPr>
            <w:r>
              <w:rPr/>
              <w:t>​</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r>
      <w:tr>
        <w:trPr/>
        <w:tc>
          <w:tcPr>
            <w:tcW w:w="214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Outstanding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1,585,589</w:t>
            </w:r>
          </w:p>
        </w:tc>
        <w:tc>
          <w:tcPr>
            <w:tcW w:w="172"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9.48</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557,466</w:t>
            </w:r>
          </w:p>
        </w:tc>
        <w:tc>
          <w:tcPr>
            <w:tcW w:w="19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557,500</w:t>
            </w:r>
          </w:p>
        </w:tc>
        <w:tc>
          <w:tcPr>
            <w:tcW w:w="165"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4.52</w:t>
            </w:r>
          </w:p>
        </w:tc>
      </w:tr>
      <w:tr>
        <w:trPr/>
        <w:tc>
          <w:tcPr>
            <w:tcW w:w="214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Granted</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1,089,016</w:t>
            </w:r>
          </w:p>
        </w:tc>
        <w:tc>
          <w:tcPr>
            <w:tcW w:w="172"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7.91</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475,945</w:t>
            </w:r>
          </w:p>
        </w:tc>
        <w:tc>
          <w:tcPr>
            <w:tcW w:w="165"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9.55</w:t>
            </w:r>
          </w:p>
        </w:tc>
      </w:tr>
      <w:tr>
        <w:trPr/>
        <w:tc>
          <w:tcPr>
            <w:tcW w:w="214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(66,703)</w:t>
            </w:r>
          </w:p>
        </w:tc>
        <w:tc>
          <w:tcPr>
            <w:tcW w:w="172"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9.11</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(20,859)</w:t>
            </w:r>
          </w:p>
        </w:tc>
        <w:tc>
          <w:tcPr>
            <w:tcW w:w="19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(28,117)</w:t>
            </w:r>
          </w:p>
        </w:tc>
        <w:tc>
          <w:tcPr>
            <w:tcW w:w="165"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4.52</w:t>
            </w:r>
          </w:p>
        </w:tc>
      </w:tr>
      <w:tr>
        <w:trPr/>
        <w:tc>
          <w:tcPr>
            <w:tcW w:w="214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Vested</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(798,652)</w:t>
            </w:r>
          </w:p>
        </w:tc>
        <w:tc>
          <w:tcPr>
            <w:tcW w:w="172"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9.90</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(183,726)</w:t>
            </w:r>
          </w:p>
        </w:tc>
        <w:tc>
          <w:tcPr>
            <w:tcW w:w="19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7.01</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5"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4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Outstanding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1,809,250</w:t>
            </w:r>
          </w:p>
        </w:tc>
        <w:tc>
          <w:tcPr>
            <w:tcW w:w="172"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8.37</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352,881</w:t>
            </w:r>
          </w:p>
        </w:tc>
        <w:tc>
          <w:tcPr>
            <w:tcW w:w="199"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1,005,328</w:t>
            </w:r>
          </w:p>
        </w:tc>
        <w:tc>
          <w:tcPr>
            <w:tcW w:w="165"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6.90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65" w:name="Tc_z6Dy9LFbSU6xMRaaQEPETg_5_0"/>
      <w:bookmarkStart w:id="1266" w:name="Tc_0F_Idues7kO1hcylZiP5tg_4_0"/>
      <w:bookmarkStart w:id="1267" w:name="Tc_Yn--rEsbBUCP8jSKxPR6kA_3_0"/>
      <w:bookmarkStart w:id="1268" w:name="Tc_ZVjuJ0NQnEm5K6GH0l0jQg_2_11"/>
      <w:bookmarkStart w:id="1269" w:name="Tc_7KY1ajs-KUyfriK3ve3kRQ_2_8"/>
      <w:bookmarkStart w:id="1270" w:name="Tc_XX3d3ms0JEWukLBZcz9J_w_2_5"/>
      <w:bookmarkStart w:id="1271" w:name="Tc_R1DcZln0DEmXp1p90_M82A_2_2"/>
      <w:bookmarkStart w:id="1272" w:name="Tc_GZe8X7HArkioeR9qWxEDNA_2_0"/>
      <w:bookmarkStart w:id="1273" w:name="Tc_6NTxJumMDkSMrhjZFu-1iQ_1_8"/>
      <w:bookmarkStart w:id="1274" w:name="Tc_jlNyAn6r80GCjvHyXxPpmQ_1_2"/>
      <w:bookmarkStart w:id="1275" w:name="Note17EarningsPerShare"/>
      <w:bookmarkEnd w:id="1265"/>
      <w:bookmarkEnd w:id="1266"/>
      <w:bookmarkEnd w:id="1267"/>
      <w:bookmarkEnd w:id="1268"/>
      <w:bookmarkEnd w:id="1269"/>
      <w:bookmarkEnd w:id="1270"/>
      <w:bookmarkEnd w:id="1271"/>
      <w:bookmarkEnd w:id="1272"/>
      <w:bookmarkEnd w:id="1273"/>
      <w:bookmarkEnd w:id="1274"/>
      <w:bookmarkEnd w:id="1275"/>
      <w:r>
        <w:rPr>
          <w:rFonts w:ascii="Times New Roman;Times;serif" w:hAnsi="Times New Roman;Times;serif"/>
          <w:b/>
          <w:sz w:val="20"/>
        </w:rPr>
        <w:t>Note 16.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Westrock Series A Preferred Shares and our service-based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Times;serif" w:hAnsi="Times New Roman;Times;serif"/>
          <w:i/>
          <w:sz w:val="20"/>
        </w:rPr>
        <w:t xml:space="preserve">Earnings per Share </w:t>
      </w:r>
      <w:r>
        <w:rPr>
          <w:rFonts w:ascii="Times New Roman;Times;serif" w:hAnsi="Times New Roman;Times;serif"/>
          <w:sz w:val="20"/>
        </w:rPr>
        <w:t>(“ASC 260”)</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dilutive effect of time-based option awards and RSUs is calculated using the treasury stock method, while performance-based awards are treated as contingently issuable.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shares for the periods indicated because their inclusion would have an anti-dilutive effect on dilutive earnings (loss) per common share.</w:t>
      </w:r>
    </w:p>
    <w:p>
      <w:pPr>
        <w:pStyle w:val="TextBody"/>
        <w:bidi w:val="0"/>
        <w:spacing w:before="0" w:after="0"/>
        <w:ind w:left="0" w:right="0" w:hanging="0"/>
        <w:jc w:val="left"/>
        <w:rPr/>
      </w:pPr>
      <w:r>
        <w:rPr/>
        <w:t>​</w:t>
      </w:r>
    </w:p>
    <w:tbl>
      <w:tblPr>
        <w:tblW w:w="7080" w:type="dxa"/>
        <w:jc w:val="left"/>
        <w:tblInd w:w="0" w:type="dxa"/>
        <w:tblLayout w:type="fixed"/>
        <w:tblCellMar>
          <w:top w:w="0" w:type="dxa"/>
          <w:left w:w="0" w:type="dxa"/>
          <w:bottom w:w="0" w:type="dxa"/>
          <w:right w:w="0" w:type="dxa"/>
        </w:tblCellMar>
      </w:tblPr>
      <w:tblGrid>
        <w:gridCol w:w="1921"/>
        <w:gridCol w:w="346"/>
        <w:gridCol w:w="131"/>
        <w:gridCol w:w="815"/>
        <w:gridCol w:w="417"/>
        <w:gridCol w:w="131"/>
        <w:gridCol w:w="815"/>
        <w:gridCol w:w="346"/>
        <w:gridCol w:w="116"/>
        <w:gridCol w:w="722"/>
        <w:gridCol w:w="369"/>
        <w:gridCol w:w="116"/>
        <w:gridCol w:w="835"/>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19835" cy="175260"/>
                      <wp:effectExtent l="0" t="0" r="0" b="0"/>
                      <wp:wrapNone/>
                      <wp:docPr id="296" name="Frame29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83185" cy="175260"/>
                      <wp:effectExtent l="0" t="0" r="0" b="0"/>
                      <wp:wrapNone/>
                      <wp:docPr id="298" name="Frame297"/>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17525" cy="175260"/>
                      <wp:effectExtent l="0" t="0" r="0" b="0"/>
                      <wp:wrapNone/>
                      <wp:docPr id="299" name="Frame298"/>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64795" cy="175260"/>
                      <wp:effectExtent l="0" t="0" r="0" b="0"/>
                      <wp:wrapNone/>
                      <wp:docPr id="300" name="Frame29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83185" cy="175260"/>
                      <wp:effectExtent l="0" t="0" r="0" b="0"/>
                      <wp:wrapNone/>
                      <wp:docPr id="301" name="Frame300"/>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17525" cy="175260"/>
                      <wp:effectExtent l="0" t="0" r="0" b="0"/>
                      <wp:wrapNone/>
                      <wp:docPr id="302" name="Frame301"/>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3660" cy="175260"/>
                      <wp:effectExtent l="0" t="0" r="0" b="0"/>
                      <wp:wrapNone/>
                      <wp:docPr id="304" name="Frame30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58470" cy="175260"/>
                      <wp:effectExtent l="0" t="0" r="0" b="0"/>
                      <wp:wrapNone/>
                      <wp:docPr id="305" name="Frame304"/>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4315" cy="175260"/>
                      <wp:effectExtent l="0" t="0" r="0" b="0"/>
                      <wp:wrapNone/>
                      <wp:docPr id="306" name="Frame305"/>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3660" cy="175260"/>
                      <wp:effectExtent l="0" t="0" r="0" b="0"/>
                      <wp:wrapNone/>
                      <wp:docPr id="307" name="Frame306"/>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30225" cy="175260"/>
                      <wp:effectExtent l="0" t="0" r="0" b="0"/>
                      <wp:wrapNone/>
                      <wp:docPr id="308" name="Frame307"/>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7"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9" w:type="dxa"/>
            <w:tcBorders/>
            <w:vAlign w:val="center"/>
          </w:tcPr>
          <w:p>
            <w:pPr>
              <w:pStyle w:val="TableContents"/>
              <w:bidi w:val="0"/>
              <w:spacing w:before="0" w:after="1"/>
              <w:ind w:left="0" w:right="0" w:hanging="0"/>
              <w:jc w:val="left"/>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shd w:fill="CCEEFF" w:val="clear"/>
            <w:vAlign w:val="center"/>
          </w:tcPr>
          <w:p>
            <w:pPr>
              <w:pStyle w:val="TableContents"/>
              <w:bidi w:val="0"/>
              <w:spacing w:before="0" w:after="1"/>
              <w:ind w:left="0" w:right="0" w:hanging="0"/>
              <w:jc w:val="lef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c>
          <w:tcPr>
            <w:tcW w:w="417" w:type="dxa"/>
            <w:tcBorders/>
            <w:shd w:fill="CCEEFF" w:val="clear"/>
            <w:vAlign w:val="center"/>
          </w:tcPr>
          <w:p>
            <w:pPr>
              <w:pStyle w:val="TableContents"/>
              <w:bidi w:val="0"/>
              <w:spacing w:before="0" w:after="1"/>
              <w:ind w:left="0" w:right="0" w:hanging="0"/>
              <w:jc w:val="lef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69"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w:t>
            </w:r>
          </w:p>
        </w:tc>
        <w:tc>
          <w:tcPr>
            <w:tcW w:w="34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417"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c>
          <w:tcPr>
            <w:tcW w:w="369"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If-converted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37,651</w:t>
            </w:r>
          </w:p>
        </w:tc>
        <w:tc>
          <w:tcPr>
            <w:tcW w:w="417" w:type="dxa"/>
            <w:tcBorders/>
            <w:shd w:fill="CCEEFF" w:val="clear"/>
            <w:vAlign w:val="center"/>
          </w:tcPr>
          <w:p>
            <w:pPr>
              <w:pStyle w:val="TableContents"/>
              <w:bidi w:val="0"/>
              <w:spacing w:before="0" w:after="1"/>
              <w:ind w:left="0" w:right="0" w:hanging="0"/>
              <w:jc w:val="lef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40,952</w:t>
            </w:r>
          </w:p>
        </w:tc>
        <w:tc>
          <w:tcPr>
            <w:tcW w:w="369"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34,568</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76" w:name="Tc_t8DxvDDcWk6r5WX-W1jAiA_18_11"/>
      <w:bookmarkStart w:id="1277" w:name="Tc_9C8RLggVvEGnviHoF30-Yg_18_8"/>
      <w:bookmarkStart w:id="1278" w:name="Tc_IoYNh3DTJUuJIL5YcDdbBA_18_5"/>
      <w:bookmarkStart w:id="1279" w:name="Tc_p1BiB30VwU296d4TbfR1Jg_18_2"/>
      <w:bookmarkStart w:id="1280" w:name="Tc_AIsLCkt5OU6O5N8q1J78Wg_18_0"/>
      <w:bookmarkStart w:id="1281" w:name="Tc_O1cdDhZHVEKcrKFvj-JQ8A_16_0"/>
      <w:bookmarkStart w:id="1282" w:name="Tc_UkE8ZNW2hU2sVdVmkw_tgA_15_0"/>
      <w:bookmarkStart w:id="1283" w:name="Tc_g946Fs2-lk6uatIVGBJsOg_14_0"/>
      <w:bookmarkStart w:id="1284" w:name="Tc_V5njvvC6O0ubs6baRyOmzg_13_11"/>
      <w:bookmarkStart w:id="1285" w:name="Tc_gxqOgCDFHE2CXujv6aM9XQ_13_8"/>
      <w:bookmarkStart w:id="1286" w:name="Tc_FveZQG9Vik--WsGEk55ubw_13_5"/>
      <w:bookmarkStart w:id="1287" w:name="Tc_snKJ9SwnzEGjvlMLkRGgtg_13_2"/>
      <w:bookmarkStart w:id="1288" w:name="Tc_jEg0q8j9u0yp0QAD-ii5fw_13_0"/>
      <w:bookmarkStart w:id="1289" w:name="Tc_C5WI1ChiPEW0JVcYsMe0_w_12_11"/>
      <w:bookmarkStart w:id="1290" w:name="Tc_v50Yb8Op10a3CtVgiINOFg_12_8"/>
      <w:bookmarkStart w:id="1291" w:name="Tc_7rxwm4kbeEmQnc-uitabRA_12_5"/>
      <w:bookmarkStart w:id="1292" w:name="Tc_21G1LuDsnEOaigB9At1w4Q_12_2"/>
      <w:bookmarkStart w:id="1293" w:name="Tc_5ABnsapSJEymUujGaRh3aw_12_0"/>
      <w:bookmarkStart w:id="1294" w:name="Tc_Z-MpwGujxEWbPmGpAICVJg_11_0"/>
      <w:bookmarkStart w:id="1295" w:name="Tc_V1B56WFZKk2xxVfBi848yg_10_0"/>
      <w:bookmarkStart w:id="1296" w:name="Tc_fVCe97EbxE27TNoECz_eIQ_8_11"/>
      <w:bookmarkStart w:id="1297" w:name="Tc_YtsZ5zcdPUeyu_AhvNpZKQ_8_8"/>
      <w:bookmarkStart w:id="1298" w:name="Tc_4uf-2AhAeEmtYdTpIhB8Vw_8_5"/>
      <w:bookmarkStart w:id="1299" w:name="Tc_QeB3DIoTkUqxjiJH5jsWCg_8_2"/>
      <w:bookmarkStart w:id="1300" w:name="Tc_6e3TKo80nECpkBpWMnlTVA_8_0"/>
      <w:bookmarkStart w:id="1301" w:name="Tc_pXNSnRa-60eWrGLICRBGzw_7_0"/>
      <w:bookmarkStart w:id="1302" w:name="Tc_vAuH0jlKi0qp2zqSNhtjuA_6_0"/>
      <w:bookmarkStart w:id="1303" w:name="Tc_TzJShCzzoESmm-LwDDc1OQ_5_11"/>
      <w:bookmarkStart w:id="1304" w:name="Tc_bX-ewajiz0KH51IGMUQzAg_5_8"/>
      <w:bookmarkStart w:id="1305" w:name="Tc_d3XByIaEl0aJvw1Ewo10Yg_5_5"/>
      <w:bookmarkStart w:id="1306" w:name="Tc_BjOKyHOATUyxfaCls8Ld9g_5_2"/>
      <w:bookmarkStart w:id="1307" w:name="Tc_Rhmv3uuf-E-MqwQp8ka-qQ_5_0"/>
      <w:bookmarkStart w:id="1308" w:name="Tc_vs2Oqgp-iUKYcFdTY9OPDQ_4_0"/>
      <w:bookmarkStart w:id="1309" w:name="Tc_rLi_EGkvV0ypNsMu_nH4sw_3_0"/>
      <w:bookmarkStart w:id="1310" w:name="Tc_YYCnnERzy0SusIOtld4hHg_2_11"/>
      <w:bookmarkStart w:id="1311" w:name="Tc_ihkxLVnJ-k-j2vt8MJo-ag_2_8"/>
      <w:bookmarkStart w:id="1312" w:name="Tc_5lN1OC_KbUW0Ob2SbaAIsw_2_5"/>
      <w:bookmarkStart w:id="1313" w:name="Tc_zm5fE7X7E0ejzmuH4x66HA_2_2"/>
      <w:bookmarkStart w:id="1314" w:name="Tc_mnjShySRGkGcH6WSaI-3bg_2_0"/>
      <w:bookmarkStart w:id="1315" w:name="Tc_j8LFnLtiv0CMTXrz-DxFqA_1_8"/>
      <w:bookmarkStart w:id="1316" w:name="Tc_flz41RPHdUKlxTN7LVwdOA_1_2"/>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sz w:val="20"/>
        </w:rPr>
        <w:t>The following table sets forth the computation of basic and diluted earnings per share under the two-class method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0"/>
        <w:gridCol w:w="346"/>
        <w:gridCol w:w="211"/>
        <w:gridCol w:w="787"/>
        <w:gridCol w:w="346"/>
        <w:gridCol w:w="211"/>
        <w:gridCol w:w="787"/>
        <w:gridCol w:w="346"/>
        <w:gridCol w:w="211"/>
        <w:gridCol w:w="787"/>
        <w:gridCol w:w="346"/>
        <w:gridCol w:w="211"/>
        <w:gridCol w:w="836"/>
      </w:tblGrid>
      <w:tr>
        <w:trPr/>
        <w:tc>
          <w:tcPr>
            <w:tcW w:w="4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035300" cy="175260"/>
                      <wp:effectExtent l="0" t="0" r="0" b="0"/>
                      <wp:wrapNone/>
                      <wp:docPr id="309" name="Frame308"/>
                      <a:graphic xmlns:a="http://schemas.openxmlformats.org/drawingml/2006/main">
                        <a:graphicData uri="http://schemas.microsoft.com/office/word/2010/wordprocessingShape">
                          <wps:wsp>
                            <wps:cNvSpPr txBox="1"/>
                            <wps:spPr>
                              <a:xfrm>
                                <a:off x="0" y="0"/>
                                <a:ext cx="303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99745" cy="175260"/>
                      <wp:effectExtent l="0" t="0" r="0" b="0"/>
                      <wp:wrapNone/>
                      <wp:docPr id="312" name="Frame31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9745" cy="175260"/>
                      <wp:effectExtent l="0" t="0" r="0" b="0"/>
                      <wp:wrapNone/>
                      <wp:docPr id="315" name="Frame31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99745" cy="175260"/>
                      <wp:effectExtent l="0" t="0" r="0" b="0"/>
                      <wp:wrapNone/>
                      <wp:docPr id="318" name="Frame317"/>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30860" cy="175260"/>
                      <wp:effectExtent l="0" t="0" r="0" b="0"/>
                      <wp:wrapNone/>
                      <wp:docPr id="321" name="Frame32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 except per share data)</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6" w:type="dxa"/>
            <w:tcBorders/>
            <w:shd w:fill="CCEEFF" w:val="clear"/>
            <w:vAlign w:val="center"/>
          </w:tcPr>
          <w:p>
            <w:pPr>
              <w:pStyle w:val="TableContents"/>
              <w:bidi w:val="0"/>
              <w:spacing w:before="0" w:after="0"/>
              <w:ind w:left="0" w:right="0" w:hanging="0"/>
              <w:jc w:val="center"/>
              <w:rPr/>
            </w:pPr>
            <w:r>
              <w:rPr/>
              <w:t>​</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6" w:type="dxa"/>
            <w:tcBorders/>
            <w:vAlign w:val="center"/>
          </w:tcPr>
          <w:p>
            <w:pPr>
              <w:pStyle w:val="TableContents"/>
              <w:bidi w:val="0"/>
              <w:spacing w:before="0" w:after="0"/>
              <w:ind w:left="0" w:right="0" w:hanging="0"/>
              <w:jc w:val="center"/>
              <w:rPr/>
            </w:pPr>
            <w:r>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(48,609)</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6" w:type="dxa"/>
            <w:tcBorders/>
            <w:vAlign w:val="center"/>
          </w:tcPr>
          <w:p>
            <w:pPr>
              <w:pStyle w:val="TableContents"/>
              <w:bidi w:val="0"/>
              <w:spacing w:before="0" w:after="0"/>
              <w:ind w:left="0" w:right="0" w:hanging="0"/>
              <w:jc w:val="center"/>
              <w:rPr/>
            </w:pPr>
            <w:r>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94,480</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47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6" w:type="dxa"/>
            <w:tcBorders/>
            <w:shd w:fill="CCEEFF" w:val="clear"/>
            <w:vAlign w:val="center"/>
          </w:tcPr>
          <w:p>
            <w:pPr>
              <w:pStyle w:val="TableContents"/>
              <w:bidi w:val="0"/>
              <w:spacing w:before="0" w:after="0"/>
              <w:ind w:left="0" w:right="0" w:hanging="0"/>
              <w:jc w:val="center"/>
              <w:rPr/>
            </w:pPr>
            <w:r>
              <w:rPr/>
              <w:t>​</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Earnings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(48,609)</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(48,609)</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4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94,480</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94,480</w:t>
            </w:r>
          </w:p>
        </w:tc>
      </w:tr>
      <w:tr>
        <w:trPr/>
        <w:tc>
          <w:tcPr>
            <w:tcW w:w="47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earnings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17" w:name="Note18SegmentInformation_197889"/>
      <w:bookmarkEnd w:id="1317"/>
      <w:r>
        <w:rPr>
          <w:rFonts w:ascii="Times New Roman;Times;serif" w:hAnsi="Times New Roman;Times;serif"/>
          <w:b/>
          <w:sz w:val="20"/>
        </w:rPr>
        <w:t>Note 17.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two operating segments, Beverage Solutions and SS&amp;T,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impairment charges, changes in fair value of warrant liabilities, non-cash mark-to-market adjustments, certain non-capitalizable costs necessary to place the Conway Facility into commercial production, certain recurring operating costs related to the scale-up of operations of the Conway Facility, the write off of unamortized deferred financing costs, costs incurred as a result of the early repayment of debt, gains or losses on dispositions, and other similar or infrequent items (although we may not have had such charges in the periods presented).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18" w:name="Tc_uldfvvvbfUeLAJ4tOyIDWw_20_0"/>
      <w:bookmarkStart w:id="1319" w:name="Tc_2_r7e174Tk6ULJg60k37mQ_18_8"/>
      <w:bookmarkStart w:id="1320" w:name="Tc_E7bgaon8t0eQ7guwSCiKnw_18_0"/>
      <w:bookmarkStart w:id="1321" w:name="Tc_Kt9dBBXik06TkvABJ287Jw_17_0"/>
      <w:bookmarkStart w:id="1322" w:name="Tc_VkDtFidZ-EKi4OpXyTcdYw_16_9"/>
      <w:bookmarkStart w:id="1323" w:name="Tc_o91vqpvelUmG0ONxPHni0A_16_0"/>
      <w:bookmarkStart w:id="1324" w:name="Tc_mvWM2rRE7kye-7CyBGQiBw_15_0"/>
      <w:bookmarkStart w:id="1325" w:name="Tc_KVIa-_JMyUCqDYW7DJdghg_14_0"/>
      <w:bookmarkStart w:id="1326" w:name="Tc__Y8jXGcnNECcw41gr7b4Vw_13_0"/>
      <w:bookmarkStart w:id="1327" w:name="Tc_rx89sQGA3EmheFdDpNU6lA_12_0"/>
      <w:bookmarkStart w:id="1328" w:name="Tc_Y9Tulfwgq0-k5l4y-GssAg_11_0"/>
      <w:bookmarkStart w:id="1329" w:name="Tc_EGrLsYg_6kGPGyDrxYlhDA_10_0"/>
      <w:bookmarkStart w:id="1330" w:name="Tc_xHhOcBHdH0OR2eSVgO_AMQ_9_0"/>
      <w:bookmarkStart w:id="1331" w:name="Tc_ie0seuGTlEK5mnMYv3Z75w_8_0"/>
      <w:bookmarkStart w:id="1332" w:name="Tc_Em-XlQKqWkO_WKHoJr0nbQ_7_0"/>
      <w:bookmarkStart w:id="1333" w:name="Tc_Ik1BeAYnYE6CCUHxt_Hj0g_5_8"/>
      <w:bookmarkStart w:id="1334" w:name="Tc_YKrin57dOk-2QC-RYNMDTw_5_5"/>
      <w:bookmarkStart w:id="1335" w:name="Tc_Gna327OtuU2nBEiZu7BR0w_5_2"/>
      <w:bookmarkStart w:id="1336" w:name="Tc_zBuQwr-pXUKZ1UjHV74KGQ_5_0"/>
      <w:bookmarkStart w:id="1337" w:name="Tc_jcNjC9JqN0uTlsRvCc2KWg_4_8"/>
      <w:bookmarkStart w:id="1338" w:name="Tc_m3X4qFSqMkiYWM5ZGvjyYA_4_5"/>
      <w:bookmarkStart w:id="1339" w:name="Tc_HMoWwNLPhE6D4-manLzz9A_4_2"/>
      <w:bookmarkStart w:id="1340" w:name="Tc_zfqp4B5FgUy6gxf07qvsHg_4_0"/>
      <w:bookmarkStart w:id="1341" w:name="Tc_ZMLdIaU_0Um93q_zBlTC_A_3_5"/>
      <w:bookmarkStart w:id="1342" w:name="Tc_Q8-1RfO0ZkyQaJgJ_ePLog_3_2"/>
      <w:bookmarkStart w:id="1343" w:name="Tc_NOBCqQxLYE2qhoaG3cigug_2_5"/>
      <w:bookmarkStart w:id="1344" w:name="Tc_QVeEgoIWxUm55gkTKgy09Q_1_2"/>
      <w:bookmarkStart w:id="1345" w:name="_2f06408d_24b8_4301_8598_571c6e44d911"/>
      <w:bookmarkStart w:id="1346" w:name="Tc_M0xlCo0Bskque7ZWZ_-pvA_20_0"/>
      <w:bookmarkStart w:id="1347" w:name="Tc_rsOjYAR7YUmnHROz2i92Mw_18_8"/>
      <w:bookmarkStart w:id="1348" w:name="Tc_91ol_Wak3Ua37pNf_0GsWw_18_0"/>
      <w:bookmarkStart w:id="1349" w:name="Tc_pPXaeGndFUqEv7LfSSdBTw_17_0"/>
      <w:bookmarkStart w:id="1350" w:name="Tc_QeVBwc9bvEyCVC6TtPHdzw_16_0"/>
      <w:bookmarkStart w:id="1351" w:name="Tc_OdjCLDGL30iaD3jyXjeSag_15_0"/>
      <w:bookmarkStart w:id="1352" w:name="Tc_TBqgRrIvCEiC5K7bmi6R3w_14_0"/>
      <w:bookmarkStart w:id="1353" w:name="Tc_FdOGOlQljkat_Dm4GMBlCg_13_0"/>
      <w:bookmarkStart w:id="1354" w:name="Tc_jV3VrD-q90epO6exA4Jztw_12_0"/>
      <w:bookmarkStart w:id="1355" w:name="Tc_-hWZmkBvxE-lPeINcbM4dg_11_0"/>
      <w:bookmarkStart w:id="1356" w:name="Tc_jApjRb2CS0-mRPZ7pYvh7w_10_0"/>
      <w:bookmarkStart w:id="1357" w:name="Tc_3cdIW5WoMEanqUGRr23xGg_9_0"/>
      <w:bookmarkStart w:id="1358" w:name="Tc_5oh2PrygAkGCn14u4TyOmA_8_0"/>
      <w:bookmarkStart w:id="1359" w:name="Tc_GEkFLAElj0CPMXAnt5JYTQ_7_0"/>
      <w:bookmarkStart w:id="1360" w:name="Tc_I5Jk09gvUkybvYcNtFmrFA_5_8"/>
      <w:bookmarkStart w:id="1361" w:name="Tc_uhIcrwy4yEW9x5X4ZoCGGg_5_5"/>
      <w:bookmarkStart w:id="1362" w:name="Tc_NNG-IAioVUuN8CX83DiUgQ_5_2"/>
      <w:bookmarkStart w:id="1363" w:name="Tc_QPFwRZznEE-faIwon8WteQ_5_0"/>
      <w:bookmarkStart w:id="1364" w:name="Tc_ISIyrWtEP0KNs7_VitjvOQ_4_8"/>
      <w:bookmarkStart w:id="1365" w:name="Tc_yyJwqtZTkkaPaH5yS4oEog_4_5"/>
      <w:bookmarkStart w:id="1366" w:name="Tc_gWAQ8yocd0CEVHHtITHiKg_4_2"/>
      <w:bookmarkStart w:id="1367" w:name="Tc_jQcw2u-LvkKaCYnvz5oWJA_4_0"/>
      <w:bookmarkStart w:id="1368" w:name="Tc_QlhZgRj6aEKZAkFDD_U3Cw_3_5"/>
      <w:bookmarkStart w:id="1369" w:name="Tc_Ju-n5JEvEEitIs5umQ3ueg_3_2"/>
      <w:bookmarkStart w:id="1370" w:name="Tc_iF7UjVxSGU-R8Q4_x0PvFQ_2_5"/>
      <w:bookmarkStart w:id="1371" w:name="Tc_vOQrvq3-xE2b1EifBsSkHA_1_2"/>
      <w:bookmarkStart w:id="1372" w:name="_86c8334c_7bbe_4fff_b1d5_f13379f0bdc0"/>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Pr>
          <w:rFonts w:ascii="Times New Roman;Times;serif" w:hAnsi="Times New Roman;Times;serif"/>
          <w:sz w:val="20"/>
        </w:rPr>
        <w:t>Selected financial data, including a reconciliation of total reportable segments’ Segment Adjusted EBITDA to loss before income taxes and equity in earnings from unconsolidated entities, is presented below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36"/>
        <w:gridCol w:w="346"/>
        <w:gridCol w:w="211"/>
        <w:gridCol w:w="781"/>
        <w:gridCol w:w="346"/>
        <w:gridCol w:w="211"/>
        <w:gridCol w:w="781"/>
        <w:gridCol w:w="346"/>
        <w:gridCol w:w="211"/>
        <w:gridCol w:w="1036"/>
      </w:tblGrid>
      <w:tr>
        <w:trPr/>
        <w:tc>
          <w:tcPr>
            <w:tcW w:w="5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769360" cy="175260"/>
                      <wp:effectExtent l="0" t="0" r="0" b="0"/>
                      <wp:wrapNone/>
                      <wp:docPr id="322" name="Frame321"/>
                      <a:graphic xmlns:a="http://schemas.openxmlformats.org/drawingml/2006/main">
                        <a:graphicData uri="http://schemas.microsoft.com/office/word/2010/wordprocessingShape">
                          <wps:wsp>
                            <wps:cNvSpPr txBox="1"/>
                            <wps:spPr>
                              <a:xfrm>
                                <a:off x="0" y="0"/>
                                <a:ext cx="376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5" name="Frame3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57860" cy="175260"/>
                      <wp:effectExtent l="0" t="0" r="0" b="0"/>
                      <wp:wrapNone/>
                      <wp:docPr id="331" name="Frame3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5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pPr>
            <w:r>
              <w:rPr/>
              <w:t>​</w:t>
            </w:r>
          </w:p>
        </w:tc>
      </w:tr>
      <w:tr>
        <w:trPr/>
        <w:tc>
          <w:tcPr>
            <w:tcW w:w="5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pPr>
            <w:r>
              <w:rPr/>
              <w:t>​</w:t>
            </w:r>
          </w:p>
        </w:tc>
      </w:tr>
      <w:tr>
        <w:trPr/>
        <w:tc>
          <w:tcPr>
            <w:tcW w:w="59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9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305,658</w:t>
            </w:r>
          </w:p>
        </w:tc>
      </w:tr>
      <w:tr>
        <w:trPr/>
        <w:tc>
          <w:tcPr>
            <w:tcW w:w="5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24,126</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12,990</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17,104</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3,168</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5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(14,223)</w:t>
            </w:r>
          </w:p>
        </w:tc>
      </w:tr>
      <w:tr>
        <w:trPr/>
        <w:tc>
          <w:tcPr>
            <w:tcW w:w="5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955,955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1,085,848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$0.4</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r>
              <w:rPr>
                <w:rFonts w:ascii="Times New Roman;Times;serif" w:hAnsi="Times New Roman;Times;serif"/>
                <w:b w:val="false"/>
                <w:i w:val="false"/>
                <w:caps w:val="false"/>
                <w:smallCaps w:val="false"/>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86"/>
        <w:gridCol w:w="346"/>
        <w:gridCol w:w="211"/>
        <w:gridCol w:w="931"/>
        <w:gridCol w:w="346"/>
        <w:gridCol w:w="211"/>
        <w:gridCol w:w="781"/>
        <w:gridCol w:w="346"/>
        <w:gridCol w:w="211"/>
        <w:gridCol w:w="1036"/>
      </w:tblGrid>
      <w:tr>
        <w:trPr/>
        <w:tc>
          <w:tcPr>
            <w:tcW w:w="5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674110" cy="175260"/>
                      <wp:effectExtent l="0" t="0" r="0" b="0"/>
                      <wp:wrapNone/>
                      <wp:docPr id="332" name="Frame331"/>
                      <a:graphic xmlns:a="http://schemas.openxmlformats.org/drawingml/2006/main">
                        <a:graphicData uri="http://schemas.microsoft.com/office/word/2010/wordprocessingShape">
                          <wps:wsp>
                            <wps:cNvSpPr txBox="1"/>
                            <wps:spPr>
                              <a:xfrm>
                                <a:off x="0" y="0"/>
                                <a:ext cx="367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91185" cy="175260"/>
                      <wp:effectExtent l="0" t="0" r="0" b="0"/>
                      <wp:wrapNone/>
                      <wp:docPr id="335"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338"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57860" cy="175260"/>
                      <wp:effectExtent l="0" t="0" r="0" b="0"/>
                      <wp:wrapNone/>
                      <wp:docPr id="341" name="Frame3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pPr>
            <w:r>
              <w:rPr/>
              <w:t>​</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7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280,859</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22,985</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15,016</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7,647</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(25,440)</w:t>
            </w:r>
          </w:p>
        </w:tc>
      </w:tr>
      <w:tr>
        <w:trPr/>
        <w:tc>
          <w:tcPr>
            <w:tcW w:w="5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1,157,477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$2.6</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373" w:name="Tc_B43GgufVD06ZS7TPeoqH-w_20_0"/>
      <w:bookmarkStart w:id="1374" w:name="Tc_pi8RYK1j2kSz5AV2ghDnfg_18_8"/>
      <w:bookmarkStart w:id="1375" w:name="Tc_ozhROrxMmEelPAjGsya34w_18_0"/>
      <w:bookmarkStart w:id="1376" w:name="Tc_vkVVKnA-REmOELgvHpJUZA_17_0"/>
      <w:bookmarkStart w:id="1377" w:name="Tc_XWkkOTU1KEiCKaFSAx1Elw_16_0"/>
      <w:bookmarkStart w:id="1378" w:name="Tc_wMLpLrmId0W6m9v3k8_3LQ_15_0"/>
      <w:bookmarkStart w:id="1379" w:name="Tc_wqFmMmiO70OAd_PWBVK-LA_14_0"/>
      <w:bookmarkStart w:id="1380" w:name="Tc_l6aeUjC9pUewACllBeEUGA_13_0"/>
      <w:bookmarkStart w:id="1381" w:name="Tc_8FFYrzGOU0CgJZ9RYrEbWg_12_0"/>
      <w:bookmarkStart w:id="1382" w:name="Tc_cPGQ3ttRnkeNoxxf8i0XRg_11_0"/>
      <w:bookmarkStart w:id="1383" w:name="Tc_3H3dD237-Ea4v5sqOczndg_10_0"/>
      <w:bookmarkStart w:id="1384" w:name="Tc_TW3ZYU9r10SJXjVPZ2_Jyw_9_0"/>
      <w:bookmarkStart w:id="1385" w:name="Tc_A7fJ-h43XUCuchD6Su2z-A_8_0"/>
      <w:bookmarkStart w:id="1386" w:name="Tc_M5dJ3YBZ0UCR4aOmeDq-_w_7_0"/>
      <w:bookmarkStart w:id="1387" w:name="Tc_l7S5SD9jY0-NZLOmDLomFA_5_8"/>
      <w:bookmarkStart w:id="1388" w:name="Tc_CzNf6eZRlU2QhusQRlZiqA_5_5"/>
      <w:bookmarkStart w:id="1389" w:name="Tc_4FKnX5zIVkmUZ6TR4t_q2g_5_2"/>
      <w:bookmarkStart w:id="1390" w:name="Tc_4ilcyuzTAkOONQ2V3QsYOQ_5_0"/>
      <w:bookmarkStart w:id="1391" w:name="Tc_HCKrUDx-mkqhwZX1dXbYkg_4_8"/>
      <w:bookmarkStart w:id="1392" w:name="Tc_wTQXMN2lvEeLKYEuYtLMPQ_4_5"/>
      <w:bookmarkStart w:id="1393" w:name="Tc_8h7D5f6Dv067AcSU4XtyoA_4_2"/>
      <w:bookmarkStart w:id="1394" w:name="Tc_thjwt-9rSUCvTLPBv6aqHw_4_0"/>
      <w:bookmarkStart w:id="1395" w:name="Tc_XuxXViN_kUqWDvfUM2AUbA_3_5"/>
      <w:bookmarkStart w:id="1396" w:name="Tc_0lNWt0JZukeghGkroa9Xfw_3_2"/>
      <w:bookmarkStart w:id="1397" w:name="Tc_dbsuUrgz9EKSU0OP1vaJlQ_2_5"/>
      <w:bookmarkStart w:id="1398" w:name="Tc_x3Cs5ce81kKVjR06U9OHvg_1_2"/>
      <w:bookmarkStart w:id="1399" w:name="_df5e92cb_1698_4e2f_9275_aa335c784dae"/>
      <w:bookmarkStart w:id="1400" w:name="Tc_nsSBpVhNgEOFDbOzCNYNfA_20_0"/>
      <w:bookmarkStart w:id="1401" w:name="Tc_gbsfgUJk80CafwWI3LNINA_18_8"/>
      <w:bookmarkStart w:id="1402" w:name="Tc_GGRJ3Km180yEi3hk1Tnfjw_18_0"/>
      <w:bookmarkStart w:id="1403" w:name="Tc_uYro0KzFS02344o9Jh58qg_17_0"/>
      <w:bookmarkStart w:id="1404" w:name="Tc_OhToR9XefkqpDyOqjQtrnw_16_0"/>
      <w:bookmarkStart w:id="1405" w:name="Tc_Fk5VI6ZdhkWTxW5lLJy2MA_15_0"/>
      <w:bookmarkStart w:id="1406" w:name="Tc_C5xJe3Q-7U-V4qK4zwioKA_14_0"/>
      <w:bookmarkStart w:id="1407" w:name="Tc_6umY8FkmNEC_EXUt5v0ujw_13_0"/>
      <w:bookmarkStart w:id="1408" w:name="Tc_kjefkhB91ES8Ae0KqCFRnA_12_0"/>
      <w:bookmarkStart w:id="1409" w:name="Tc_dBSWmT31Ski--4TnT3kCAw_11_0"/>
      <w:bookmarkStart w:id="1410" w:name="Tc_iOX3jrgM0Ei92avu8aTIuQ_10_0"/>
      <w:bookmarkStart w:id="1411" w:name="Tc_kl9n7W-VXEOmAXyxokpjhw_9_0"/>
      <w:bookmarkStart w:id="1412" w:name="Tc_jNfIDvOurUKrT2dJZ_eCRg_8_0"/>
      <w:bookmarkStart w:id="1413" w:name="Tc_w5xs5CHXokSgkyQiDU57ig_7_0"/>
      <w:bookmarkStart w:id="1414" w:name="Tc_XI7gZXflxEuNVhsrMaAiig_5_8"/>
      <w:bookmarkStart w:id="1415" w:name="Tc_MYqwbBliqkmQ6f4mhsGRtw_5_5"/>
      <w:bookmarkStart w:id="1416" w:name="Tc_ITZcB6OMaEadiYLfdfNn8g_5_2"/>
      <w:bookmarkStart w:id="1417" w:name="Tc_ARKHA1HuikybmI43bqlicw_5_0"/>
      <w:bookmarkStart w:id="1418" w:name="Tc_eed21MdMnkyLuWrTwrXtHg_4_8"/>
      <w:bookmarkStart w:id="1419" w:name="Tc_JKXsoh2lSkOGvBdmxjuPJw_4_5"/>
      <w:bookmarkStart w:id="1420" w:name="Tc_DoZY2xFXvUqYns-rxc0_MQ_4_2"/>
      <w:bookmarkStart w:id="1421" w:name="Tc_kd6oWaTt-kqGl-3Z5WDdAQ_4_0"/>
      <w:bookmarkStart w:id="1422" w:name="Tc_RY-9oAI-VU--PqhKgV3zvQ_3_5"/>
      <w:bookmarkStart w:id="1423" w:name="Tc_BT_5nJjd2EuCCKnKOr0_sQ_3_2"/>
      <w:bookmarkStart w:id="1424" w:name="Tc_Q91VpkedB0CRTQxbDkvMsw_2_5"/>
      <w:bookmarkStart w:id="1425" w:name="Tc_msvFaX9irU66idb-IB2z8w_1_2"/>
      <w:bookmarkStart w:id="1426" w:name="_be17b349_f300_4d06_bae1_24c12a68d3a8"/>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t>​</w:t>
      </w:r>
    </w:p>
    <w:tbl>
      <w:tblPr>
        <w:tblW w:w="10205" w:type="dxa"/>
        <w:jc w:val="left"/>
        <w:tblInd w:w="0" w:type="dxa"/>
        <w:tblLayout w:type="fixed"/>
        <w:tblCellMar>
          <w:top w:w="0" w:type="dxa"/>
          <w:left w:w="0" w:type="dxa"/>
          <w:bottom w:w="0" w:type="dxa"/>
          <w:right w:w="0" w:type="dxa"/>
        </w:tblCellMar>
      </w:tblPr>
      <w:tblGrid>
        <w:gridCol w:w="5936"/>
        <w:gridCol w:w="346"/>
        <w:gridCol w:w="211"/>
        <w:gridCol w:w="781"/>
        <w:gridCol w:w="346"/>
        <w:gridCol w:w="211"/>
        <w:gridCol w:w="781"/>
        <w:gridCol w:w="346"/>
        <w:gridCol w:w="211"/>
        <w:gridCol w:w="1036"/>
      </w:tblGrid>
      <w:tr>
        <w:trPr/>
        <w:tc>
          <w:tcPr>
            <w:tcW w:w="5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769360" cy="175260"/>
                      <wp:effectExtent l="0" t="0" r="0" b="0"/>
                      <wp:wrapNone/>
                      <wp:docPr id="342" name="Frame341"/>
                      <a:graphic xmlns:a="http://schemas.openxmlformats.org/drawingml/2006/main">
                        <a:graphicData uri="http://schemas.microsoft.com/office/word/2010/wordprocessingShape">
                          <wps:wsp>
                            <wps:cNvSpPr txBox="1"/>
                            <wps:spPr>
                              <a:xfrm>
                                <a:off x="0" y="0"/>
                                <a:ext cx="376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8"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57860" cy="175260"/>
                      <wp:effectExtent l="0" t="0" r="0" b="0"/>
                      <wp:wrapNone/>
                      <wp:docPr id="351" name="Frame3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5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pPr>
            <w:r>
              <w:rPr/>
              <w:t>​</w:t>
            </w:r>
          </w:p>
        </w:tc>
      </w:tr>
      <w:tr>
        <w:trPr/>
        <w:tc>
          <w:tcPr>
            <w:tcW w:w="5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9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614,483</w:t>
            </w:r>
          </w:p>
        </w:tc>
      </w:tr>
      <w:tr>
        <w:trPr/>
        <w:tc>
          <w:tcPr>
            <w:tcW w:w="5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53,860</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26,517</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33,668</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6,836</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6,595</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(24,103)</w:t>
            </w:r>
          </w:p>
        </w:tc>
      </w:tr>
      <w:tr>
        <w:trPr/>
        <w:tc>
          <w:tcPr>
            <w:tcW w:w="5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1,085,848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$0.5</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86"/>
        <w:gridCol w:w="346"/>
        <w:gridCol w:w="211"/>
        <w:gridCol w:w="931"/>
        <w:gridCol w:w="346"/>
        <w:gridCol w:w="211"/>
        <w:gridCol w:w="781"/>
        <w:gridCol w:w="346"/>
        <w:gridCol w:w="211"/>
        <w:gridCol w:w="1036"/>
      </w:tblGrid>
      <w:tr>
        <w:trPr/>
        <w:tc>
          <w:tcPr>
            <w:tcW w:w="5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674110" cy="175260"/>
                      <wp:effectExtent l="0" t="0" r="0" b="0"/>
                      <wp:wrapNone/>
                      <wp:docPr id="352" name="Frame351"/>
                      <a:graphic xmlns:a="http://schemas.openxmlformats.org/drawingml/2006/main">
                        <a:graphicData uri="http://schemas.microsoft.com/office/word/2010/wordprocessingShape">
                          <wps:wsp>
                            <wps:cNvSpPr txBox="1"/>
                            <wps:spPr>
                              <a:xfrm>
                                <a:off x="0" y="0"/>
                                <a:ext cx="367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91185" cy="175260"/>
                      <wp:effectExtent l="0" t="0" r="0" b="0"/>
                      <wp:wrapNone/>
                      <wp:docPr id="355" name="Frame3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57860" cy="175260"/>
                      <wp:effectExtent l="0" t="0" r="0" b="0"/>
                      <wp:wrapNone/>
                      <wp:docPr id="361" name="Frame3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pPr>
            <w:r>
              <w:rPr/>
              <w:t>​</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7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494,655</w:t>
            </w:r>
          </w:p>
        </w:tc>
      </w:tr>
      <w:tr>
        <w:trPr/>
        <w:tc>
          <w:tcPr>
            <w:tcW w:w="5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34,496</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25,718</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26,771</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10,935</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(50,830)</w:t>
            </w:r>
          </w:p>
        </w:tc>
      </w:tr>
      <w:tr>
        <w:trPr/>
        <w:tc>
          <w:tcPr>
            <w:tcW w:w="5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1,157,477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$6.5</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108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27" w:name="Tc_QdVJi3xMX0uDbUOEYJTzog_15_5"/>
      <w:bookmarkStart w:id="1428" w:name="Tc_Gkh6c3E0IEimm0koAtsphw_15_2"/>
      <w:bookmarkStart w:id="1429" w:name="Tc_HaqBEKFzPUOpQn2v5hiNmQ_15_0"/>
      <w:bookmarkStart w:id="1430" w:name="Tc_uimMUniDV0KMDzdCK3DO6w_14_0"/>
      <w:bookmarkStart w:id="1431" w:name="Tc_6UEusgPrK0G2JiMJf36lSQ_13_6"/>
      <w:bookmarkStart w:id="1432" w:name="Tc_ZVwTVpYkRE-AHAZe1CYH-A_13_0"/>
      <w:bookmarkStart w:id="1433" w:name="Tc_qZhXHi7_-kWbtWWc3qVHVQ_12_6"/>
      <w:bookmarkStart w:id="1434" w:name="Tc_vVPVErSfFk-Qzbr-SXt9GQ_12_0"/>
      <w:bookmarkStart w:id="1435" w:name="Tc_4K8eIWSu1Uu2WttlERXEog_11_6"/>
      <w:bookmarkStart w:id="1436" w:name="Tc_0VgK0Lv_rEC4bjY0ry5Aog_11_0"/>
      <w:bookmarkStart w:id="1437" w:name="Tc_tQqzp4zeEEy4yTqGDCN__g_10_6"/>
      <w:bookmarkStart w:id="1438" w:name="Tc_zD-HZ2h9aEeYP-bxmNUBcA_10_0"/>
      <w:bookmarkStart w:id="1439" w:name="Tc_iUBkxAXf4Uiayi8cqXq1oA_9_6"/>
      <w:bookmarkStart w:id="1440" w:name="Tc_KaqRiy4fgk-Zn4gHAgz__w_9_0"/>
      <w:bookmarkStart w:id="1441" w:name="Tc_ZWHNoCH4o0--aQ2NC9yanQ_8_0"/>
      <w:bookmarkStart w:id="1442" w:name="Tc_zbPzBeCZHUqo1CoPDg-awQ_7_0"/>
      <w:bookmarkStart w:id="1443" w:name="Tc_7ueMnSV6JU6J3pIw_bZHOw_6_0"/>
      <w:bookmarkStart w:id="1444" w:name="Tc_caPoyIxsekuRnBCWttI7gg_5_5"/>
      <w:bookmarkStart w:id="1445" w:name="Tc_iuMfJlijT0SkijI8FdVMRA_5_2"/>
      <w:bookmarkStart w:id="1446" w:name="Tc_-uVMp8vhB0W6zZcYMn_uJQ_5_0"/>
      <w:bookmarkStart w:id="1447" w:name="Tc_zP8-snkV_0ezlk6fUrhraQ_4_5"/>
      <w:bookmarkStart w:id="1448" w:name="Tc_-rhX56r8M0qDo3ENZ7BEjg_4_2"/>
      <w:bookmarkStart w:id="1449" w:name="Tc_asJD5hiA8kiQKKCzbk-iSg_4_0"/>
      <w:bookmarkStart w:id="1450" w:name="Tc_fE6iBgSGkkGlEJ23zIe2kg_3_5"/>
      <w:bookmarkStart w:id="1451" w:name="Tc_mu_jhpNy3kyAoYsdUBBCVA_3_2"/>
      <w:bookmarkStart w:id="1452" w:name="Tc_OhT2BiDju0eLS4n0Yc_aCg_2_5"/>
      <w:bookmarkStart w:id="1453" w:name="Tc_BpJpjd1q1UidCHMNqV8O8w_1_3"/>
      <w:bookmarkStart w:id="1454" w:name="_7348ac0e_d9db_4116_a478_6b57996534f2"/>
      <w:bookmarkStart w:id="1455" w:name="Tc_RVAISQDEtUm3OdFZj5s7fw_15_5"/>
      <w:bookmarkStart w:id="1456" w:name="Tc_M1TwJGKGKEOyYRG-_MHGIw_15_2"/>
      <w:bookmarkStart w:id="1457" w:name="Tc_XolXhEEw90yTDd13bqy8Rw_15_0"/>
      <w:bookmarkStart w:id="1458" w:name="Tc_Imo5-1yEBUSsmDZP6TIUiQ_14_0"/>
      <w:bookmarkStart w:id="1459" w:name="Tc_6mCTmTWDXEqn4tuhgggB7Q_13_6"/>
      <w:bookmarkStart w:id="1460" w:name="Tc_Lv-3JZJ9HUmoZU5yVN6Ggw_13_0"/>
      <w:bookmarkStart w:id="1461" w:name="Tc_GdlzjVO8S06evQ7823ocJg_12_6"/>
      <w:bookmarkStart w:id="1462" w:name="Tc_3GkOeo6iikagJwOdbtShqQ_12_0"/>
      <w:bookmarkStart w:id="1463" w:name="Tc_MW_p_wnRuEeklP7s22BCrw_11_6"/>
      <w:bookmarkStart w:id="1464" w:name="Tc_13_dRg8wkEOEVvQZoDA-5g_11_0"/>
      <w:bookmarkStart w:id="1465" w:name="Tc_HjGAc_ku_02vp45g82jojg_10_6"/>
      <w:bookmarkStart w:id="1466" w:name="Tc_HPBocF9DPE6Y4BkUkH5hGA_10_0"/>
      <w:bookmarkStart w:id="1467" w:name="Tc_Kq3N5MQk0EeOYANlLTy3vg_9_6"/>
      <w:bookmarkStart w:id="1468" w:name="Tc_pncfYV-HX0SVfqlrU8kh_g_9_0"/>
      <w:bookmarkStart w:id="1469" w:name="Tc_XSC4YDpHVk-TQ23lwfvbkw_8_0"/>
      <w:bookmarkStart w:id="1470" w:name="Tc_JSjpS_DVCUC0ty-fRs7anA_7_0"/>
      <w:bookmarkStart w:id="1471" w:name="Tc__o3FGANBv0W6gcdP17088g_6_0"/>
      <w:bookmarkStart w:id="1472" w:name="Tc_L384-CTJzkWtRBGuRN4WwA_5_5"/>
      <w:bookmarkStart w:id="1473" w:name="Tc_zBl6gBs7VkKh5VNrLQlJxQ_5_2"/>
      <w:bookmarkStart w:id="1474" w:name="Tc_quCSfiEWYUeaa0n-2E6umQ_5_0"/>
      <w:bookmarkStart w:id="1475" w:name="Tc_I7_BZliCYUqBAIaN-FBYCg_4_5"/>
      <w:bookmarkStart w:id="1476" w:name="Tc_KaB6GZLf00KpDnwTMcqDWQ_4_2"/>
      <w:bookmarkStart w:id="1477" w:name="Tc_SJEhi1VypEaJ-Tw9B1UhvA_4_0"/>
      <w:bookmarkStart w:id="1478" w:name="Tc_0ZRzbEYXd0KBry6mbRufOQ_3_5"/>
      <w:bookmarkStart w:id="1479" w:name="Tc_MA6AS1q51kya8B9CeKh8dg_3_2"/>
      <w:bookmarkStart w:id="1480" w:name="Tc_Dob70JgNQUK1ri5mSFUTbw_2_5"/>
      <w:bookmarkStart w:id="1481" w:name="Tc_ZXRqvkpHHkydRjEFVt9kBw_1_3"/>
      <w:bookmarkStart w:id="1482" w:name="_03aed8d7_8660_4159_b162_0e5c268f9b82"/>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sz w:val="20"/>
        </w:rPr>
        <w:t>Significant segment expense for our reportable segments is presented below for the periods indicated:</w:t>
      </w:r>
    </w:p>
    <w:p>
      <w:pPr>
        <w:pStyle w:val="TextBody"/>
        <w:bidi w:val="0"/>
        <w:spacing w:before="0" w:after="0"/>
        <w:ind w:left="0" w:right="0" w:hanging="0"/>
        <w:jc w:val="left"/>
        <w:rPr/>
      </w:pPr>
      <w:r>
        <w:rPr/>
        <w:t>​</w:t>
      </w:r>
    </w:p>
    <w:tbl>
      <w:tblPr>
        <w:tblW w:w="5628" w:type="dxa"/>
        <w:jc w:val="left"/>
        <w:tblInd w:w="0" w:type="dxa"/>
        <w:tblLayout w:type="fixed"/>
        <w:tblCellMar>
          <w:top w:w="0" w:type="dxa"/>
          <w:left w:w="0" w:type="dxa"/>
          <w:bottom w:w="0" w:type="dxa"/>
          <w:right w:w="0" w:type="dxa"/>
        </w:tblCellMar>
      </w:tblPr>
      <w:tblGrid>
        <w:gridCol w:w="2356"/>
        <w:gridCol w:w="346"/>
        <w:gridCol w:w="211"/>
        <w:gridCol w:w="1030"/>
        <w:gridCol w:w="456"/>
        <w:gridCol w:w="278"/>
        <w:gridCol w:w="951"/>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96060" cy="175260"/>
                      <wp:effectExtent l="0" t="0" r="0" b="0"/>
                      <wp:wrapNone/>
                      <wp:docPr id="362" name="Frame36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54050" cy="175260"/>
                      <wp:effectExtent l="0" t="0" r="0" b="0"/>
                      <wp:wrapNone/>
                      <wp:docPr id="365" name="Frame364"/>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89560" cy="175260"/>
                      <wp:effectExtent l="0" t="0" r="0" b="0"/>
                      <wp:wrapNone/>
                      <wp:docPr id="366" name="Frame365"/>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6530" cy="175260"/>
                      <wp:effectExtent l="0" t="0" r="0" b="0"/>
                      <wp:wrapNone/>
                      <wp:docPr id="367" name="Frame36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03885" cy="175260"/>
                      <wp:effectExtent l="0" t="0" r="0" b="0"/>
                      <wp:wrapNone/>
                      <wp:docPr id="368" name="Frame36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7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  ​ ​ ​</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56" w:type="dxa"/>
            <w:tcBorders/>
            <w:vAlign w:val="center"/>
          </w:tcPr>
          <w:p>
            <w:pPr>
              <w:pStyle w:val="TableContents"/>
              <w:bidi w:val="0"/>
              <w:spacing w:before="0" w:after="0"/>
              <w:ind w:left="0" w:right="0" w:hanging="0"/>
              <w:jc w:val="left"/>
              <w:rPr/>
            </w:pPr>
            <w:r>
              <w:rPr/>
              <w:t>​</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56" w:type="dxa"/>
            <w:tcBorders/>
            <w:vAlign w:val="center"/>
          </w:tcPr>
          <w:p>
            <w:pPr>
              <w:pStyle w:val="TableContents"/>
              <w:bidi w:val="0"/>
              <w:spacing w:before="0" w:after="0"/>
              <w:ind w:left="0" w:right="0" w:hanging="0"/>
              <w:jc w:val="left"/>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243,870</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61,788</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196,263</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56,511</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13,248</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w:t>
            </w:r>
          </w:p>
        </w:tc>
        <w:tc>
          <w:tcPr>
            <w:tcW w:w="45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22,167</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segment expense includes equipment and real estate rent, equipment parts, supplies and service expenses and other overhead expenses.</w:t>
            </w:r>
          </w:p>
        </w:tc>
      </w:tr>
    </w:tbl>
    <w:p>
      <w:pPr>
        <w:pStyle w:val="TextBody"/>
        <w:bidi w:val="0"/>
        <w:spacing w:before="0" w:after="0"/>
        <w:ind w:left="0" w:right="0" w:hanging="0"/>
        <w:jc w:val="left"/>
        <w:rPr/>
      </w:pPr>
      <w:r>
        <w:rPr/>
        <w:t>​</w:t>
      </w:r>
    </w:p>
    <w:tbl>
      <w:tblPr>
        <w:tblW w:w="5628" w:type="dxa"/>
        <w:jc w:val="left"/>
        <w:tblInd w:w="0" w:type="dxa"/>
        <w:tblLayout w:type="fixed"/>
        <w:tblCellMar>
          <w:top w:w="0" w:type="dxa"/>
          <w:left w:w="0" w:type="dxa"/>
          <w:bottom w:w="0" w:type="dxa"/>
          <w:right w:w="0" w:type="dxa"/>
        </w:tblCellMar>
      </w:tblPr>
      <w:tblGrid>
        <w:gridCol w:w="2356"/>
        <w:gridCol w:w="346"/>
        <w:gridCol w:w="211"/>
        <w:gridCol w:w="1030"/>
        <w:gridCol w:w="456"/>
        <w:gridCol w:w="278"/>
        <w:gridCol w:w="951"/>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96060" cy="175260"/>
                      <wp:effectExtent l="0" t="0" r="0" b="0"/>
                      <wp:wrapNone/>
                      <wp:docPr id="369" name="Frame368"/>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54050" cy="175260"/>
                      <wp:effectExtent l="0" t="0" r="0" b="0"/>
                      <wp:wrapNone/>
                      <wp:docPr id="372" name="Frame37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89560" cy="175260"/>
                      <wp:effectExtent l="0" t="0" r="0" b="0"/>
                      <wp:wrapNone/>
                      <wp:docPr id="373" name="Frame372"/>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76530" cy="175260"/>
                      <wp:effectExtent l="0" t="0" r="0" b="0"/>
                      <wp:wrapNone/>
                      <wp:docPr id="374" name="Frame37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03885" cy="175260"/>
                      <wp:effectExtent l="0" t="0" r="0" b="0"/>
                      <wp:wrapNone/>
                      <wp:docPr id="375" name="Frame374"/>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7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  ​ ​ ​</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56" w:type="dxa"/>
            <w:tcBorders/>
            <w:vAlign w:val="center"/>
          </w:tcPr>
          <w:p>
            <w:pPr>
              <w:pStyle w:val="TableContents"/>
              <w:bidi w:val="0"/>
              <w:spacing w:before="0" w:after="0"/>
              <w:ind w:left="0" w:right="0" w:hanging="0"/>
              <w:jc w:val="left"/>
              <w:rPr/>
            </w:pPr>
            <w:r>
              <w:rPr/>
              <w:t>​</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56" w:type="dxa"/>
            <w:tcBorders/>
            <w:vAlign w:val="center"/>
          </w:tcPr>
          <w:p>
            <w:pPr>
              <w:pStyle w:val="TableContents"/>
              <w:bidi w:val="0"/>
              <w:spacing w:before="0" w:after="0"/>
              <w:ind w:left="0" w:right="0" w:hanging="0"/>
              <w:jc w:val="left"/>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208,814</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72,045</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163,565</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66,378</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14,082</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4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c>
          <w:tcPr>
            <w:tcW w:w="45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19,670</w:t>
            </w:r>
          </w:p>
        </w:tc>
        <w:tc>
          <w:tcPr>
            <w:tcW w:w="45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p>
      <w:pPr>
        <w:pStyle w:val="TextBody"/>
        <w:pBdr/>
        <w:bidi w:val="0"/>
        <w:spacing w:before="0" w:after="0"/>
        <w:ind w:left="0" w:right="0" w:hanging="36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483" w:name="Tc_lzASufIbFkq9sASA1eaJtw_15_5"/>
      <w:bookmarkStart w:id="1484" w:name="Tc_jKKTllRIN0OMED8m8gkljQ_15_2"/>
      <w:bookmarkStart w:id="1485" w:name="Tc_UX07um5GbkmpeaJ22FcQ7w_15_0"/>
      <w:bookmarkStart w:id="1486" w:name="Tc_4w-axxTlzE-vkgs-GkFeXQ_14_0"/>
      <w:bookmarkStart w:id="1487" w:name="Tc_XK8QqDjZwky-SAt7HIl20w_13_6"/>
      <w:bookmarkStart w:id="1488" w:name="Tc_GBWVv6GzTUOfwqk9gumRmg_13_0"/>
      <w:bookmarkStart w:id="1489" w:name="Tc_Uadn38oP6UW3idq4NIkb0Q_12_6"/>
      <w:bookmarkStart w:id="1490" w:name="Tc_GBRTCteMFUKwc8Qb-deLIQ_12_0"/>
      <w:bookmarkStart w:id="1491" w:name="Tc_EnI98xkn1kmhFpmps15k9A_11_6"/>
      <w:bookmarkStart w:id="1492" w:name="Tc_OJBwQ2HS9E2n3RUPsIC5WA_11_0"/>
      <w:bookmarkStart w:id="1493" w:name="Tc_5eZG1Z0bZkq8aHc8I1q4tg_10_6"/>
      <w:bookmarkStart w:id="1494" w:name="Tc_TMAYKQa1a0ui-Pxq1NCVQA_10_0"/>
      <w:bookmarkStart w:id="1495" w:name="Tc_eF3ENCbfkEC68f3gB49goA_9_6"/>
      <w:bookmarkStart w:id="1496" w:name="Tc_jiTwbgRRL0W-F0VJzKUAIw_9_0"/>
      <w:bookmarkStart w:id="1497" w:name="Tc_YgazpBRpuUK5pPO0SXhp9w_8_0"/>
      <w:bookmarkStart w:id="1498" w:name="Tc_HXpaHGwfOk-4LqkQUESETQ_7_0"/>
      <w:bookmarkStart w:id="1499" w:name="Tc_Lm-YK_tu00-uqFcQC_Az3w_6_0"/>
      <w:bookmarkStart w:id="1500" w:name="Tc_FeijydlfpESgs6WCepWRjg_5_5"/>
      <w:bookmarkStart w:id="1501" w:name="Tc_NVzYbYMxfUqOez2vMbf8dg_5_2"/>
      <w:bookmarkStart w:id="1502" w:name="Tc_L5tOQpnRs0KoDMTlcCt2Iw_5_0"/>
      <w:bookmarkStart w:id="1503" w:name="Tc_PgpOGlxRSEmmqhjCodIj3g_4_5"/>
      <w:bookmarkStart w:id="1504" w:name="Tc_zlCCMs7VEU2D37Yz2PMD_g_4_2"/>
      <w:bookmarkStart w:id="1505" w:name="Tc_Af8SmOsx8kqNrSrxdPE23A_4_0"/>
      <w:bookmarkStart w:id="1506" w:name="Tc_zaUGLABlDkOF0FKjVypgYw_3_5"/>
      <w:bookmarkStart w:id="1507" w:name="Tc_Ez8-XFZjikCREnCY-K-4sQ_3_2"/>
      <w:bookmarkStart w:id="1508" w:name="Tc_Vl33zmBPU0KUQpXc1xUbGw_2_5"/>
      <w:bookmarkStart w:id="1509" w:name="Tc_n5Qp-s15jEmEUoWUwof-aQ_1_3"/>
      <w:bookmarkStart w:id="1510" w:name="_97653fe4_64d3_40ca_97ca_b358dcf086c2"/>
      <w:bookmarkStart w:id="1511" w:name="Tc_RRWKlh9K0EGAcxIgW0CXjQ_15_5"/>
      <w:bookmarkStart w:id="1512" w:name="Tc_6Ow7gKEREEmd1FLCrWabVQ_15_2"/>
      <w:bookmarkStart w:id="1513" w:name="Tc_nd4ykFZpgUiADBBoCMSOoQ_15_0"/>
      <w:bookmarkStart w:id="1514" w:name="Tc_HciLBd26nkSEBkkLSEdHJA_14_0"/>
      <w:bookmarkStart w:id="1515" w:name="Tc_04Sa1S0tY0KnBtcaaeYQqw_13_6"/>
      <w:bookmarkStart w:id="1516" w:name="Tc_3EjucT2lAkGx-HEmFaqAwQ_13_0"/>
      <w:bookmarkStart w:id="1517" w:name="Tc_Yavrj5HytkGFt-XXlZpqiQ_12_6"/>
      <w:bookmarkStart w:id="1518" w:name="Tc_OM8zYSDGR0Ws4mlAkCBlXw_12_0"/>
      <w:bookmarkStart w:id="1519" w:name="Tc_hG1STZSejkWXec6UmSV7Ww_11_6"/>
      <w:bookmarkStart w:id="1520" w:name="Tc_9WfzoB3j0k-TUHp-o_QsdQ_11_0"/>
      <w:bookmarkStart w:id="1521" w:name="Tc_u_FQ0HwSmk-PWrH8isoA-A_10_6"/>
      <w:bookmarkStart w:id="1522" w:name="Tc_mLeN5BbiR0OvG_MzjvTGPg_10_0"/>
      <w:bookmarkStart w:id="1523" w:name="Tc_TmxYrJeD9E2cwpTV5ib0sQ_9_6"/>
      <w:bookmarkStart w:id="1524" w:name="Tc_56vphETcIk-HhL0_AvgGGg_9_0"/>
      <w:bookmarkStart w:id="1525" w:name="Tc_ZugQKwolGUWueD7sYY05yw_8_0"/>
      <w:bookmarkStart w:id="1526" w:name="Tc_UX0_3k3irEWoNCgGaqBq5w_7_0"/>
      <w:bookmarkStart w:id="1527" w:name="Tc_-oAdpA8qqk6txHgChjjSXQ_6_0"/>
      <w:bookmarkStart w:id="1528" w:name="Tc_WhZsk_2bu0uTlocXDtCGdA_5_5"/>
      <w:bookmarkStart w:id="1529" w:name="Tc_HoNJ6U3JW0qJFceyLiQp7Q_5_2"/>
      <w:bookmarkStart w:id="1530" w:name="Tc_OGJyatq_nkS48MFJF7odSA_5_0"/>
      <w:bookmarkStart w:id="1531" w:name="Tc_X1fiMg2nGU6XHLWmi28Ybg_4_5"/>
      <w:bookmarkStart w:id="1532" w:name="Tc_of8bJF_o2UyNBgHBbc1ATA_4_2"/>
      <w:bookmarkStart w:id="1533" w:name="Tc_16ZNP8TMzU24r_tkhnh73Q_4_0"/>
      <w:bookmarkStart w:id="1534" w:name="Tc_W9GsHAvnwEeAJSsDIW0cJA_3_5"/>
      <w:bookmarkStart w:id="1535" w:name="Tc_NY_KHlRsWEisLqttSRqA5w_3_2"/>
      <w:bookmarkStart w:id="1536" w:name="Tc_jWFNmk_mLEutteghXFur0g_2_5"/>
      <w:bookmarkStart w:id="1537" w:name="Tc_8Ug0geeD3UOf1YAQIPbOJw_1_3"/>
      <w:bookmarkStart w:id="1538" w:name="_5cd59633_102e_4f70_a14d_12646ade04a7"/>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t>​</w:t>
      </w:r>
    </w:p>
    <w:tbl>
      <w:tblPr>
        <w:tblW w:w="5432" w:type="dxa"/>
        <w:jc w:val="left"/>
        <w:tblInd w:w="0" w:type="dxa"/>
        <w:tblLayout w:type="fixed"/>
        <w:tblCellMar>
          <w:top w:w="0" w:type="dxa"/>
          <w:left w:w="0" w:type="dxa"/>
          <w:bottom w:w="0" w:type="dxa"/>
          <w:right w:w="0" w:type="dxa"/>
        </w:tblCellMar>
      </w:tblPr>
      <w:tblGrid>
        <w:gridCol w:w="2356"/>
        <w:gridCol w:w="346"/>
        <w:gridCol w:w="211"/>
        <w:gridCol w:w="909"/>
        <w:gridCol w:w="403"/>
        <w:gridCol w:w="245"/>
        <w:gridCol w:w="962"/>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96060" cy="175260"/>
                      <wp:effectExtent l="0" t="0" r="0" b="0"/>
                      <wp:wrapNone/>
                      <wp:docPr id="376" name="Frame375"/>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77215" cy="175260"/>
                      <wp:effectExtent l="0" t="0" r="0" b="0"/>
                      <wp:wrapNone/>
                      <wp:docPr id="379" name="Frame378"/>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55905" cy="175260"/>
                      <wp:effectExtent l="0" t="0" r="0" b="0"/>
                      <wp:wrapNone/>
                      <wp:docPr id="380" name="Frame37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5575" cy="175260"/>
                      <wp:effectExtent l="0" t="0" r="0" b="0"/>
                      <wp:wrapNone/>
                      <wp:docPr id="381" name="Frame38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10870" cy="175260"/>
                      <wp:effectExtent l="0" t="0" r="0" b="0"/>
                      <wp:wrapNone/>
                      <wp:docPr id="382" name="Frame38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5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 ​ ​</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03" w:type="dxa"/>
            <w:tcBorders/>
            <w:vAlign w:val="center"/>
          </w:tcPr>
          <w:p>
            <w:pPr>
              <w:pStyle w:val="TableContents"/>
              <w:bidi w:val="0"/>
              <w:spacing w:before="0" w:after="0"/>
              <w:ind w:left="0" w:right="0" w:hanging="0"/>
              <w:jc w:val="left"/>
              <w:rPr/>
            </w:pPr>
            <w:r>
              <w:rPr/>
              <w:t>​</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03" w:type="dxa"/>
            <w:tcBorders/>
            <w:vAlign w:val="center"/>
          </w:tcPr>
          <w:p>
            <w:pPr>
              <w:pStyle w:val="TableContents"/>
              <w:bidi w:val="0"/>
              <w:spacing w:before="0" w:after="0"/>
              <w:ind w:left="0" w:right="0" w:hanging="0"/>
              <w:jc w:val="left"/>
              <w:rPr/>
            </w:pPr>
            <w:r>
              <w:rPr/>
              <w:t>​</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483,192</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131,291</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386,659</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120,292</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27,901</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5,052</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c>
          <w:tcPr>
            <w:tcW w:w="403"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45,441</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8,419</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32" w:type="dxa"/>
        <w:jc w:val="left"/>
        <w:tblInd w:w="0" w:type="dxa"/>
        <w:tblLayout w:type="fixed"/>
        <w:tblCellMar>
          <w:top w:w="0" w:type="dxa"/>
          <w:left w:w="0" w:type="dxa"/>
          <w:bottom w:w="0" w:type="dxa"/>
          <w:right w:w="0" w:type="dxa"/>
        </w:tblCellMar>
      </w:tblPr>
      <w:tblGrid>
        <w:gridCol w:w="2356"/>
        <w:gridCol w:w="346"/>
        <w:gridCol w:w="211"/>
        <w:gridCol w:w="909"/>
        <w:gridCol w:w="403"/>
        <w:gridCol w:w="245"/>
        <w:gridCol w:w="962"/>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96060" cy="175260"/>
                      <wp:effectExtent l="0" t="0" r="0" b="0"/>
                      <wp:wrapNone/>
                      <wp:docPr id="383" name="Frame382"/>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77215" cy="175260"/>
                      <wp:effectExtent l="0" t="0" r="0" b="0"/>
                      <wp:wrapNone/>
                      <wp:docPr id="386" name="Frame385"/>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55905" cy="175260"/>
                      <wp:effectExtent l="0" t="0" r="0" b="0"/>
                      <wp:wrapNone/>
                      <wp:docPr id="387" name="Frame38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5575" cy="175260"/>
                      <wp:effectExtent l="0" t="0" r="0" b="0"/>
                      <wp:wrapNone/>
                      <wp:docPr id="388" name="Frame38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10870" cy="175260"/>
                      <wp:effectExtent l="0" t="0" r="0" b="0"/>
                      <wp:wrapNone/>
                      <wp:docPr id="389" name="Frame38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5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 ​ ​</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03" w:type="dxa"/>
            <w:tcBorders/>
            <w:vAlign w:val="center"/>
          </w:tcPr>
          <w:p>
            <w:pPr>
              <w:pStyle w:val="TableContents"/>
              <w:bidi w:val="0"/>
              <w:spacing w:before="0" w:after="0"/>
              <w:ind w:left="0" w:right="0" w:hanging="0"/>
              <w:jc w:val="left"/>
              <w:rPr/>
            </w:pPr>
            <w:r>
              <w:rPr/>
              <w:t>​</w:t>
            </w:r>
          </w:p>
        </w:tc>
        <w:tc>
          <w:tcPr>
            <w:tcW w:w="12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03" w:type="dxa"/>
            <w:tcBorders/>
            <w:vAlign w:val="center"/>
          </w:tcPr>
          <w:p>
            <w:pPr>
              <w:pStyle w:val="TableContents"/>
              <w:bidi w:val="0"/>
              <w:spacing w:before="0" w:after="0"/>
              <w:ind w:left="0" w:right="0" w:hanging="0"/>
              <w:jc w:val="left"/>
              <w:rPr/>
            </w:pPr>
            <w:r>
              <w:rPr/>
              <w:t>​</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372,893</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121,762</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295,005</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111,804</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25,888</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4,522</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40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c>
          <w:tcPr>
            <w:tcW w:w="403"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29,253</w:t>
            </w:r>
          </w:p>
        </w:tc>
        <w:tc>
          <w:tcPr>
            <w:tcW w:w="403"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39" w:name="Note19CommitmentsandContingencies_748093"/>
      <w:bookmarkEnd w:id="1539"/>
      <w:r>
        <w:rPr>
          <w:rFonts w:ascii="Times New Roman;Times;serif" w:hAnsi="Times New Roman;Times;serif"/>
          <w:b/>
          <w:sz w:val="20"/>
        </w:rPr>
        <w:t>Note 18.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27, 2024, Dairy Farmers of America, Inc. (“DFA”) filed a complaint against the Company and certain current and former employees of the Company in the United States District Court for the Western District of Missouri, which alleged trade secret misappropriation in violation of the Defend Trade Secrets Act and the Missouri Trade Secrets Act and civil conspiracy against the Company. DFA seeks money damages, interest, attorneys’ fees, costs, expenses, and injunctive relief from all defendants. On February 24, 2025, DFA filed an amended complaint, asserting the same causes of action against the Company and adding an individual defendant. On July 1, 2025, the United States District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Court for the Western District of Missouri granted the Company’s motion to transfer the case to the United States District Court for the Eastern District of Arkansas, Case No. 4:25-cv-00662-JM. On July 14, 2025, DFA filed a second amended complaint, adding Westrock Beverage Company, LLC as a defendant, withdrawing the claim for civil conspiracy, and adding a claim seeking to pierce the corporate veil between the Company and Westrock Beverage Company, LLC. The Company and Westrock Beverage Company, LLC filed an answer on July 28, 2025, denying the allegations contained in DFA’s complaint, and also filed a motion to dismiss the veil-piercing claim. On October 28, 2025, the Court granted the motion to dismiss the veil-piercing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Discovery has commenced, and the case has been set for trial on February 22, 2027. The Company intends to defend this matter vigorously and seek all recourse available to it, and, because it is still in its preliminary stages, we have not yet determined what effect this lawsuit will have, if any, on our financial position or results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various other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purchase obligations of $292.3 million as of June 30, 2026 that consist of commitments for the purchase of inventory over the next 12 months. These obligations represent the minimum contractual obligations expected under the normal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2026, we had a right or obligation to repurchase $3.5 million of inventory associated with Repo Transactions, for which the liability is recorded within accrued expenses and other current liabilities on the Company’s Condensed Consolidated Balance Sheets.</w:t>
      </w:r>
    </w:p>
    <w:p>
      <w:pPr>
        <w:pStyle w:val="TextBody"/>
        <w:pBdr/>
        <w:bidi w:val="0"/>
        <w:spacing w:before="0" w:after="240"/>
        <w:ind w:left="0" w:right="0" w:hanging="288"/>
        <w:jc w:val="left"/>
        <w:rPr/>
      </w:pPr>
      <w:r>
        <w:rPr/>
        <w:t>​</w:t>
      </w:r>
    </w:p>
    <w:p>
      <w:pPr>
        <w:pStyle w:val="TextBody"/>
        <w:bidi w:val="0"/>
        <w:spacing w:before="0" w:after="240"/>
        <w:ind w:left="0" w:right="0" w:hanging="0"/>
        <w:jc w:val="left"/>
        <w:rPr>
          <w:rFonts w:ascii="Times New Roman;Times;serif" w:hAnsi="Times New Roman;Times;serif"/>
          <w:b/>
          <w:sz w:val="20"/>
        </w:rPr>
      </w:pPr>
      <w:bookmarkStart w:id="1540" w:name="Tc_h2A5UKUoaU-I1rlRqbuJMQ_8_5"/>
      <w:bookmarkStart w:id="1541" w:name="Tc_Syvfbzc5d0m0C8FQU0bUsA_8_2"/>
      <w:bookmarkStart w:id="1542" w:name="Tc__d7vCMdC1UCT2q-z3j7DfQ_8_0"/>
      <w:bookmarkStart w:id="1543" w:name="Tc_n6q3NtsYskyU99SOKVGszA_7_0"/>
      <w:bookmarkStart w:id="1544" w:name="Tc_JkMoo1kXTE2LkBlSN2Hskw_6_0"/>
      <w:bookmarkStart w:id="1545" w:name="Tc_VFVNQjpZ0keIJnqgMSoAvQ_5_0"/>
      <w:bookmarkStart w:id="1546" w:name="Tc_HGfjBWx5xEa_ki8AW7JZbQ_4_0"/>
      <w:bookmarkStart w:id="1547" w:name="Tc_9MSHlHDvvE6cs70bPOzppA_3_5"/>
      <w:bookmarkStart w:id="1548" w:name="Tc__W50Y76tM0u7JYV1RASQEg_3_2"/>
      <w:bookmarkStart w:id="1549" w:name="Tc_i4sNSFmvqUyghXof7Y1hLQ_3_0"/>
      <w:bookmarkStart w:id="1550" w:name="Tc_dg5ILDdO206G5_8szvcqRQ_2_0"/>
      <w:bookmarkStart w:id="1551" w:name="Tc_H3wlQ8FNcEunGK8U1ApeLQ_1_5"/>
      <w:bookmarkStart w:id="1552" w:name="Tc_p2igehY26US7ln3vwhd4hQ_1_2"/>
      <w:bookmarkStart w:id="1553" w:name="Tc_o77UYUNnbkW2euJjhuBb8w_1_0"/>
      <w:bookmarkStart w:id="1554" w:name="_da500776_b1af_43a6_acce_af04be830b97"/>
      <w:bookmarkStart w:id="1555" w:name="Note20RelatedPartyTransactions_229332"/>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r>
        <w:rPr>
          <w:rFonts w:ascii="Times New Roman;Times;serif" w:hAnsi="Times New Roman;Times;serif"/>
          <w:b/>
          <w:sz w:val="20"/>
        </w:rPr>
        <w:t>Note 19.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2024, the Company sold and issued the 2029 Convertible Notes (see Note 10) to Westrock Group, LLC (an affiliate of Scott Ford, the Company’s Chief Executive Officer and a member of the board of directors of the Company, “Westrock Group”), Wooster Capital, LLC (an affiliate of Joe Ford, chairman of the board of directors), A. Wellford Tabor, a member of the board of directors of the Company, and HF Direct Investments Pool, LLC (a holder of more than 10% of the outstanding Common Shares), each a related party.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2025, the Company sold and issued the 2031 Convertible Notes (see Note 10) to HF Direct Investments Pool, LLC (a holder of more than 10% of the outstanding Common Shares), Jeffrey H. Fox Revocable Trust (an affiliate of Jeffrey H. Fox, a member of the board of directors of the Company), and A. Wellford Tabor, a member of the board of directors of the Company, each a related party.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reflect the following transactions with related parties:</w:t>
      </w:r>
    </w:p>
    <w:tbl>
      <w:tblPr>
        <w:tblW w:w="7340" w:type="dxa"/>
        <w:jc w:val="left"/>
        <w:tblInd w:w="0" w:type="dxa"/>
        <w:tblLayout w:type="fixed"/>
        <w:tblCellMar>
          <w:top w:w="0" w:type="dxa"/>
          <w:left w:w="0" w:type="dxa"/>
          <w:bottom w:w="0" w:type="dxa"/>
          <w:right w:w="0" w:type="dxa"/>
        </w:tblCellMar>
      </w:tblPr>
      <w:tblGrid>
        <w:gridCol w:w="3976"/>
        <w:gridCol w:w="346"/>
        <w:gridCol w:w="303"/>
        <w:gridCol w:w="823"/>
        <w:gridCol w:w="346"/>
        <w:gridCol w:w="367"/>
        <w:gridCol w:w="1179"/>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524760" cy="175260"/>
                      <wp:effectExtent l="0" t="0" r="0" b="0"/>
                      <wp:wrapNone/>
                      <wp:docPr id="390" name="Frame38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92405" cy="175260"/>
                      <wp:effectExtent l="0" t="0" r="0" b="0"/>
                      <wp:wrapNone/>
                      <wp:docPr id="392" name="Frame39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22605" cy="175260"/>
                      <wp:effectExtent l="0" t="0" r="0" b="0"/>
                      <wp:wrapNone/>
                      <wp:docPr id="393" name="Frame39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33045" cy="175260"/>
                      <wp:effectExtent l="0" t="0" r="0" b="0"/>
                      <wp:wrapNone/>
                      <wp:docPr id="395" name="Frame39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48665" cy="175260"/>
                      <wp:effectExtent l="0" t="0" r="0" b="0"/>
                      <wp:wrapNone/>
                      <wp:docPr id="396" name="Frame39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H. Fox Revocable Trust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 Wellford Tabor</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1,103</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556" w:name="Tc_xOZCNH3gy0uY-SqeEz6Oxw_9_5"/>
      <w:bookmarkStart w:id="1557" w:name="Tc_0PcwoWbvOEqIVNF6Lz_rdg_9_2"/>
      <w:bookmarkStart w:id="1558" w:name="Tc_JG7KP6W2yE6d14QW-0F9Mg_9_0"/>
      <w:bookmarkStart w:id="1559" w:name="Tc_53ECgdpzJUqPqZwF2PjPrQ_8_0"/>
      <w:bookmarkStart w:id="1560" w:name="Tc_i8vScllEtkWN4o_FMzs4Hg_7_6"/>
      <w:bookmarkStart w:id="1561" w:name="Tc_mfSUIhJ3VkC1tAyPq9n0RA_7_0"/>
      <w:bookmarkStart w:id="1562" w:name="Tc_pswdPTIyiUOOBS3Dw6ge1A_6_0"/>
      <w:bookmarkStart w:id="1563" w:name="Tc_O_IHAQu1kkihoNjWwPfrUQ_5_0"/>
      <w:bookmarkStart w:id="1564" w:name="Tc_2ZRnnXrD6EOZdgzrmQTEGg_4_5"/>
      <w:bookmarkStart w:id="1565" w:name="Tc_6-bEXoW910KZ6immNQQbyw_4_2"/>
      <w:bookmarkStart w:id="1566" w:name="Tc_jvKOe4uhUkuMmlAiuq0-Mw_4_0"/>
      <w:bookmarkStart w:id="1567" w:name="Tc_6SLBvtvqSUCndispUSzP9A_3_0"/>
      <w:bookmarkStart w:id="1568" w:name="Tc_SnKzufXrRkKh0uKP5DPhcQ_2_5"/>
      <w:bookmarkStart w:id="1569" w:name="Tc__N8buaSpqEW-j2VUJbtXyQ_2_2"/>
      <w:bookmarkStart w:id="1570" w:name="Tc_yLFIk_reCUSwq6Bc6QLq3g_2_0"/>
      <w:bookmarkStart w:id="1571" w:name="Tc_zJqoAdSe8ES5Z5tEjQGKng_1_2"/>
      <w:bookmarkStart w:id="1572" w:name="_ed501515_75b6_410d_a358_d711b41396f5"/>
      <w:bookmarkStart w:id="1573" w:name="Tc_JvFUnZ3Rw0eGIXP6s6GXOw_10_5"/>
      <w:bookmarkStart w:id="1574" w:name="Tc_gd3IPcuRf0SsFYpnFf17RA_10_2"/>
      <w:bookmarkStart w:id="1575" w:name="Tc_1YmNDXs9JEaT6y2ngyo6Dw_10_0"/>
      <w:bookmarkStart w:id="1576" w:name="Tc_ygNk6947LU6lfmHrwbpT3g_9_0"/>
      <w:bookmarkStart w:id="1577" w:name="Tc_eGgymoQT1kWGUTW9y8J0Dg_8_0"/>
      <w:bookmarkStart w:id="1578" w:name="Tc_4HSQ8LgsnUyTcpyQ9YEk0w_7_0"/>
      <w:bookmarkStart w:id="1579" w:name="Tc_RP9LHQXJBUuHuyGkcloMQw_6_0"/>
      <w:bookmarkStart w:id="1580" w:name="Tc_-4sgEZI-TUm4yqucvSNW6Q_5_0"/>
      <w:bookmarkStart w:id="1581" w:name="Tc_6yOYXqyflEmCxaeJ3REsUQ_4_0"/>
      <w:bookmarkStart w:id="1582" w:name="Tc_oE6UrrTAzkmVyBE31X_Z6A_3_5"/>
      <w:bookmarkStart w:id="1583" w:name="Tc_cqH_8sgrKEqcFA3rAFzrIA_3_2"/>
      <w:bookmarkStart w:id="1584" w:name="Tc_A9HsI0Oa4kSA5kZwzqGrEw_3_0"/>
      <w:bookmarkStart w:id="1585" w:name="Tc_UJiRZP4jnUaRV28IlWxBsg_2_0"/>
      <w:bookmarkStart w:id="1586" w:name="Tc_yl1bJ5y4oUaLC1PkMWghCg_1_5"/>
      <w:bookmarkStart w:id="1587" w:name="Tc_kLihEvSOsE20hB2kJ-5PUw_1_2"/>
      <w:bookmarkStart w:id="1588" w:name="Tc_Ce7TxrDXCUOroCyYcEawYg_1_0"/>
      <w:bookmarkStart w:id="1589" w:name="_6458452c_d6c4_4341_aeda_483afad8ed73"/>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r>
        <w:rPr/>
        <w:t>​</w:t>
      </w:r>
    </w:p>
    <w:tbl>
      <w:tblPr>
        <w:tblW w:w="7355" w:type="dxa"/>
        <w:jc w:val="left"/>
        <w:tblInd w:w="0" w:type="dxa"/>
        <w:tblLayout w:type="fixed"/>
        <w:tblCellMar>
          <w:top w:w="0" w:type="dxa"/>
          <w:left w:w="0" w:type="dxa"/>
          <w:bottom w:w="0" w:type="dxa"/>
          <w:right w:w="0" w:type="dxa"/>
        </w:tblCellMar>
      </w:tblPr>
      <w:tblGrid>
        <w:gridCol w:w="3991"/>
        <w:gridCol w:w="346"/>
        <w:gridCol w:w="267"/>
        <w:gridCol w:w="859"/>
        <w:gridCol w:w="346"/>
        <w:gridCol w:w="328"/>
        <w:gridCol w:w="1218"/>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534285" cy="175260"/>
                      <wp:effectExtent l="0" t="0" r="0" b="0"/>
                      <wp:wrapNone/>
                      <wp:docPr id="397" name="Frame39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9545" cy="175260"/>
                      <wp:effectExtent l="0" t="0" r="0" b="0"/>
                      <wp:wrapNone/>
                      <wp:docPr id="399" name="Frame39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45465" cy="175260"/>
                      <wp:effectExtent l="0" t="0" r="0" b="0"/>
                      <wp:wrapNone/>
                      <wp:docPr id="400" name="Frame39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8280" cy="175260"/>
                      <wp:effectExtent l="0" t="0" r="0" b="0"/>
                      <wp:wrapNone/>
                      <wp:docPr id="402" name="Frame40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73430" cy="175260"/>
                      <wp:effectExtent l="0" t="0" r="0" b="0"/>
                      <wp:wrapNone/>
                      <wp:docPr id="403" name="Frame40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Convertible notes payable - related party,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H. Fox Revocable Trust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 Wellford Tabor</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64,839</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64,754</w:t>
            </w:r>
          </w:p>
        </w:tc>
      </w:tr>
    </w:tbl>
    <w:p>
      <w:pPr>
        <w:pStyle w:val="TextBody"/>
        <w:bidi w:val="0"/>
        <w:spacing w:before="0" w:after="240"/>
        <w:ind w:left="0" w:right="0" w:hanging="0"/>
        <w:jc w:val="left"/>
        <w:rPr/>
      </w:pPr>
      <w:r>
        <w:rPr/>
        <w:t>​</w:t>
      </w:r>
    </w:p>
    <w:tbl>
      <w:tblPr>
        <w:tblW w:w="5311" w:type="dxa"/>
        <w:jc w:val="left"/>
        <w:tblInd w:w="0" w:type="dxa"/>
        <w:tblLayout w:type="fixed"/>
        <w:tblCellMar>
          <w:top w:w="0" w:type="dxa"/>
          <w:left w:w="0" w:type="dxa"/>
          <w:bottom w:w="0" w:type="dxa"/>
          <w:right w:w="0" w:type="dxa"/>
        </w:tblCellMar>
      </w:tblPr>
      <w:tblGrid>
        <w:gridCol w:w="2806"/>
        <w:gridCol w:w="346"/>
        <w:gridCol w:w="226"/>
        <w:gridCol w:w="612"/>
        <w:gridCol w:w="371"/>
        <w:gridCol w:w="226"/>
        <w:gridCol w:w="724"/>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781810" cy="175260"/>
                      <wp:effectExtent l="0" t="0" r="0" b="0"/>
                      <wp:wrapNone/>
                      <wp:docPr id="404" name="Frame40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3510" cy="175260"/>
                      <wp:effectExtent l="0" t="0" r="0" b="0"/>
                      <wp:wrapNone/>
                      <wp:docPr id="406" name="Frame4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88620" cy="175260"/>
                      <wp:effectExtent l="0" t="0" r="0" b="0"/>
                      <wp:wrapNone/>
                      <wp:docPr id="407" name="Frame406"/>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35585" cy="175260"/>
                      <wp:effectExtent l="0" t="0" r="0" b="0"/>
                      <wp:wrapNone/>
                      <wp:docPr id="408" name="Frame40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3510" cy="175260"/>
                      <wp:effectExtent l="0" t="0" r="0" b="0"/>
                      <wp:wrapNone/>
                      <wp:docPr id="409" name="Frame4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59740" cy="175260"/>
                      <wp:effectExtent l="0" t="0" r="0" b="0"/>
                      <wp:wrapNone/>
                      <wp:docPr id="410" name="Frame409"/>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46" w:type="dxa"/>
            <w:tcBorders/>
            <w:vAlign w:val="center"/>
          </w:tcPr>
          <w:p>
            <w:pPr>
              <w:pStyle w:val="TableContents"/>
              <w:bidi w:val="0"/>
              <w:spacing w:before="0" w:after="0"/>
              <w:ind w:left="0" w:right="0" w:hanging="0"/>
              <w:jc w:val="left"/>
              <w:rPr/>
            </w:pPr>
            <w:r>
              <w:rPr/>
              <w:t>  ​ ​ ​</w:t>
            </w:r>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0"/>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center"/>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Fox Revocable Trust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Wellford Tabor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7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1,307</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Company reimburses Westrock Group for the usage of a corporate aircraft, and its portion of shared administrative expenses. For the three and six months ended June 30, 2026, the Company recognized expenses of $0.4 million and $0.5 million, respectively, for such items, which are recorded in selling, general and administrative expenses in our Condensed Consolidated Statements of Operations. For the three and six months ended June 30, 2025, the Company recognized expenses of $0.2 million and $0.2 million, respectively, for such items. At June 30, 2026 and December 31, 2025, we had $0.1 million payable and $0.1 million payable to Westrock Group, respectively, related to such items.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2026, Falcon purchased $0.1 million and $9.4 million of green coffee from the Rwandan JV, in which the Company has a 49.9% interest. For the three and six months ended June 30, 2025, Falcon purchased $0.3 million of green coffee from the Rwandan JV. At June 30, 2026 and December 31, 2025, the Condensed Consolidated Balance Sheet included $1.2 million and $4.8 million in inventory that was purchased from the Rwandan JV, respectively. At June 30, 2026 and December 31, 2025, Falcon had $0.3 million and $1.2 million payable to the Rwandan JV, respectively.</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590" w:name="Note22SubsequentEvents"/>
      <w:bookmarkStart w:id="1591" w:name="_43922256_920b_41ed_8eb0_72959b1f6bbc"/>
      <w:bookmarkEnd w:id="1590"/>
      <w:bookmarkEnd w:id="1591"/>
      <w:r>
        <w:rPr/>
        <w:t>​</w:t>
      </w:r>
    </w:p>
    <w:p>
      <w:pPr>
        <w:pStyle w:val="TextBody"/>
        <w:bidi w:val="0"/>
        <w:spacing w:before="0" w:after="0"/>
        <w:ind w:left="58" w:right="216"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592" w:name="Note21SubsequentEvents_337845"/>
      <w:bookmarkEnd w:id="1592"/>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93" w:name="Item2ManagementsDiscussionandAnalysis_53"/>
      <w:bookmarkStart w:id="1594" w:name="_bd3757a7_8c66_4eb1_bfb2_39ada4a0d43c"/>
      <w:bookmarkEnd w:id="1593"/>
      <w:bookmarkEnd w:id="159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describes the principal factors affecting the results of operations, financial condition, and changes in financial condition for the three and six months ended June 30, 2026. This discussion should be read in conjunction with the accompanying Condensed Consolidated Financial Statements, and the notes thereto set forth in Part I, Item 1 of this Quarterly Report on Form 10-Q and our December 31, 2025 Audited Consolidated Financial Statements and notes thereto included in our Annual Report on Form 10-K filed with the U.S. Securities and Exchange Commission (“SEC”) on March 10, 2026.</w:t>
      </w:r>
    </w:p>
    <w:p>
      <w:pPr>
        <w:pStyle w:val="TextBody"/>
        <w:bidi w:val="0"/>
        <w:spacing w:before="0" w:after="240"/>
        <w:ind w:left="0" w:right="0" w:hanging="0"/>
        <w:jc w:val="left"/>
        <w:rPr>
          <w:rFonts w:ascii="Times New Roman;Times;serif" w:hAnsi="Times New Roman;Times;serif"/>
          <w:b/>
          <w:sz w:val="20"/>
        </w:rPr>
      </w:pPr>
      <w:bookmarkStart w:id="1595" w:name="Overview_251396"/>
      <w:bookmarkEnd w:id="1595"/>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Westrock Coffee Company, a Delaware corporation (the “Company,” “Westrock,” “we,” “us,” or “our”),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partners with brands across retail, foodservice, convenience, consumer packaged goods (“CPG”), and hospitality to bring beverage programs to market at scale.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our business in two segments: Beverage Solutions and Sustainable Sourcing &amp; Traceability (“SS&amp;T”).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pStyle w:val="TextBody"/>
        <w:bidi w:val="0"/>
        <w:spacing w:before="0" w:after="240"/>
        <w:ind w:left="0" w:right="0" w:hanging="0"/>
        <w:jc w:val="left"/>
        <w:rPr>
          <w:rFonts w:ascii="Times New Roman;Times;serif" w:hAnsi="Times New Roman;Times;serif"/>
          <w:b/>
          <w:sz w:val="20"/>
        </w:rPr>
      </w:pPr>
      <w:bookmarkStart w:id="1596" w:name="SignificantDevelopments_873684"/>
      <w:bookmarkEnd w:id="1596"/>
      <w:r>
        <w:rPr>
          <w:rFonts w:ascii="Times New Roman;Times;serif" w:hAnsi="Times New Roman;Times;serif"/>
          <w:b/>
          <w:sz w:val="20"/>
        </w:rPr>
        <w:t>Significant Developments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Agreement Amendments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30, 2026, the Company entered into Amendment No. 6 (the “Sixth Amendment”) to its Credit Agreement, as defined in the section titled </w:t>
      </w:r>
      <w:r>
        <w:rPr>
          <w:rFonts w:ascii="Times New Roman;Times;serif" w:hAnsi="Times New Roman;Times;serif"/>
          <w:i/>
          <w:sz w:val="20"/>
        </w:rPr>
        <w:t>Liquidity and Capital Resources</w:t>
      </w:r>
      <w:r>
        <w:rPr>
          <w:rFonts w:ascii="Times New Roman;Times;serif" w:hAnsi="Times New Roman;Times;serif"/>
          <w:sz w:val="20"/>
        </w:rPr>
        <w:t xml:space="preserve"> below. The Sixth Amendment extends the maturity date of approximately $360.7 million of the loans and commitments under our credit facilities from August 29, 2027 to November 29, 2028 and makes certain restricted payments subject to the secured net leverage ratio being no greater than 3.75x and liquidity being no less than $25.0 million, in each case on a pro forma basis. Approximately $25.8 million of the loans and commitments under our credit facilities will continue to mature on August 29, 2027. In connection with the Sixth Amendment, Texas Capital Bank has also become a lender.</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on June 30, 2026, the Borrower elected to terminate the Covenant Relief Period, as defined in the section titled </w:t>
      </w:r>
      <w:r>
        <w:rPr>
          <w:rFonts w:ascii="Times New Roman;Times;serif" w:hAnsi="Times New Roman;Times;serif"/>
          <w:i/>
          <w:sz w:val="20"/>
        </w:rPr>
        <w:t>Liquidity and Capital Resources</w:t>
      </w:r>
      <w:r>
        <w:rPr>
          <w:rFonts w:ascii="Times New Roman;Times;serif" w:hAnsi="Times New Roman;Times;serif"/>
          <w:sz w:val="20"/>
        </w:rPr>
        <w:t xml:space="preserve"> below, under the Credit Agreement prior to its scheduled expiration on October 1, 2026. As a result, the applicable margin on any loans will decrease, certain restrictions limited to the covenant relief period will no longer apply, and the maximum permitted secured net leverage ratio under the secured net leverage ratio financial covenant decreased from 5.00x to 4.00x for the test period ended June 30, 2026, and from 4.50x to 4.00x for the test period ending September 30, 2026. As of the date of this Quarterly Report on Form 10-Q, the Company was in compliance with its financial covenants.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1597" w:name="ResultsofOperations_357823"/>
      <w:bookmarkEnd w:id="1597"/>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4548"/>
        <w:gridCol w:w="346"/>
        <w:gridCol w:w="239"/>
        <w:gridCol w:w="887"/>
        <w:gridCol w:w="346"/>
        <w:gridCol w:w="781"/>
        <w:gridCol w:w="271"/>
        <w:gridCol w:w="109"/>
        <w:gridCol w:w="239"/>
        <w:gridCol w:w="887"/>
        <w:gridCol w:w="346"/>
        <w:gridCol w:w="781"/>
        <w:gridCol w:w="271"/>
        <w:gridCol w:w="154"/>
      </w:tblGrid>
      <w:tr>
        <w:trPr/>
        <w:tc>
          <w:tcPr>
            <w:tcW w:w="4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887980" cy="175260"/>
                      <wp:effectExtent l="0" t="0" r="0" b="0"/>
                      <wp:wrapNone/>
                      <wp:docPr id="411" name="Frame410"/>
                      <a:graphic xmlns:a="http://schemas.openxmlformats.org/drawingml/2006/main">
                        <a:graphicData uri="http://schemas.microsoft.com/office/word/2010/wordprocessingShape">
                          <wps:wsp>
                            <wps:cNvSpPr txBox="1"/>
                            <wps:spPr>
                              <a:xfrm>
                                <a:off x="0" y="0"/>
                                <a:ext cx="288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1765" cy="175260"/>
                      <wp:effectExtent l="0" t="0" r="0" b="0"/>
                      <wp:wrapNone/>
                      <wp:docPr id="413" name="Frame41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63245" cy="175260"/>
                      <wp:effectExtent l="0" t="0" r="0" b="0"/>
                      <wp:wrapNone/>
                      <wp:docPr id="414" name="Frame41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6" name="Frame4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72085" cy="175260"/>
                      <wp:effectExtent l="0" t="0" r="0" b="0"/>
                      <wp:wrapNone/>
                      <wp:docPr id="417" name="Frame41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1765" cy="175260"/>
                      <wp:effectExtent l="0" t="0" r="0" b="0"/>
                      <wp:wrapNone/>
                      <wp:docPr id="419" name="Frame41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63245" cy="175260"/>
                      <wp:effectExtent l="0" t="0" r="0" b="0"/>
                      <wp:wrapNone/>
                      <wp:docPr id="420" name="Frame41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95935" cy="175260"/>
                      <wp:effectExtent l="0" t="0" r="0" b="0"/>
                      <wp:wrapNone/>
                      <wp:docPr id="422" name="Frame4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72085" cy="175260"/>
                      <wp:effectExtent l="0" t="0" r="0" b="0"/>
                      <wp:wrapNone/>
                      <wp:docPr id="423" name="Frame42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97790" cy="175260"/>
                      <wp:effectExtent l="0" t="0" r="0" b="0"/>
                      <wp:wrapNone/>
                      <wp:docPr id="424" name="Frame4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Ended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45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305,658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280,859</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267,910</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239,464</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39,098</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56,408</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12,990</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Series A Convertible Preferred Shares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5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0"/>
        <w:ind w:left="0" w:right="0" w:hanging="0"/>
        <w:jc w:val="both"/>
        <w:rPr/>
      </w:pPr>
      <w:r>
        <w:rPr/>
        <w:t>​</w:t>
      </w:r>
    </w:p>
    <w:tbl>
      <w:tblPr>
        <w:tblW w:w="6022" w:type="dxa"/>
        <w:jc w:val="left"/>
        <w:tblInd w:w="0" w:type="dxa"/>
        <w:tblLayout w:type="fixed"/>
        <w:tblCellMar>
          <w:top w:w="0" w:type="dxa"/>
          <w:left w:w="0" w:type="dxa"/>
          <w:bottom w:w="0" w:type="dxa"/>
          <w:right w:w="0" w:type="dxa"/>
        </w:tblCellMar>
      </w:tblPr>
      <w:tblGrid>
        <w:gridCol w:w="3241"/>
        <w:gridCol w:w="346"/>
        <w:gridCol w:w="211"/>
        <w:gridCol w:w="781"/>
        <w:gridCol w:w="346"/>
        <w:gridCol w:w="211"/>
        <w:gridCol w:w="88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58035" cy="175260"/>
                      <wp:effectExtent l="0" t="0" r="0" b="0"/>
                      <wp:wrapNone/>
                      <wp:docPr id="425" name="Frame424"/>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95935" cy="175260"/>
                      <wp:effectExtent l="0" t="0" r="0" b="0"/>
                      <wp:wrapNone/>
                      <wp:docPr id="428"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62610" cy="175260"/>
                      <wp:effectExtent l="0" t="0" r="0" b="0"/>
                      <wp:wrapNone/>
                      <wp:docPr id="431" name="Frame4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208,814</w:t>
            </w:r>
          </w:p>
        </w:tc>
      </w:tr>
      <w:tr>
        <w:trPr/>
        <w:tc>
          <w:tcPr>
            <w:tcW w:w="32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72,045</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280,859</w:t>
            </w:r>
          </w:p>
        </w:tc>
      </w:tr>
    </w:tbl>
    <w:tbl>
      <w:tblPr>
        <w:tblW w:w="2706" w:type="dxa"/>
        <w:jc w:val="left"/>
        <w:tblInd w:w="0" w:type="dxa"/>
        <w:tblLayout w:type="fixed"/>
        <w:tblCellMar>
          <w:top w:w="28" w:type="dxa"/>
          <w:left w:w="28" w:type="dxa"/>
          <w:bottom w:w="28" w:type="dxa"/>
          <w:right w:w="28" w:type="dxa"/>
        </w:tblCellMar>
      </w:tblPr>
      <w:tblGrid>
        <w:gridCol w:w="124"/>
        <w:gridCol w:w="31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of intersegment revenues.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Sales from our Beverage Solutions segment were $243.9 million for the three months ended June 30, 2026, increasing 16.8% compared to $208.8 million for the three months ended June 30, 2025. The increase was primarily due to a $28.1 million increase in the sale of flavors, extracts &amp; ingredients products driven by a 66.6% increase in can volumes and the ramp up of glass bottle production during 2026. In addition, sales of coffee and tea products grew $7.4 million.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were $61.8 million for the three months ended June 30, 2026, decreasing 14.2% compared to $72.0 million for the three months ended June 30, 2025, driven primarily by a decrease in sales volume of 10.8%.</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tbl>
      <w:tblPr>
        <w:tblW w:w="5857" w:type="dxa"/>
        <w:jc w:val="left"/>
        <w:tblInd w:w="0" w:type="dxa"/>
        <w:tblLayout w:type="fixed"/>
        <w:tblCellMar>
          <w:top w:w="0" w:type="dxa"/>
          <w:left w:w="0" w:type="dxa"/>
          <w:bottom w:w="0" w:type="dxa"/>
          <w:right w:w="0" w:type="dxa"/>
        </w:tblCellMar>
      </w:tblPr>
      <w:tblGrid>
        <w:gridCol w:w="3076"/>
        <w:gridCol w:w="346"/>
        <w:gridCol w:w="211"/>
        <w:gridCol w:w="781"/>
        <w:gridCol w:w="346"/>
        <w:gridCol w:w="211"/>
        <w:gridCol w:w="88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953260" cy="175260"/>
                      <wp:effectExtent l="0" t="0" r="0" b="0"/>
                      <wp:wrapNone/>
                      <wp:docPr id="432" name="Frame431"/>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5" name="Frame4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6"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62610" cy="175260"/>
                      <wp:effectExtent l="0" t="0" r="0" b="0"/>
                      <wp:wrapNone/>
                      <wp:docPr id="438" name="Frame4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174,528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239,464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increased $36.3 million to $210.8 million for the three months ended June 30, 2026, compared to the three months ended June 30, 2025. The increase in costs of sales was primarily driven by an increase in sales volumes for the three months ended June 30, 2026, compared to the three months ended June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decreased $7.9 million to $57.1 million for the three months ended June 30, 2026, compared to the three months ended June 30, 2025. This decrease is primarily due to a decrease in green coffee sales volume. Costs of sales in our SS&amp;T segment for the three months ended June 30, 2026 included $0.6 million of net unrealized losses on forward sales and purchase contracts and mark-to-market adjustments on green coffee inventory compared to $1.4 million of net unrealized gains for the three months ended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171" w:type="dxa"/>
        <w:jc w:val="left"/>
        <w:tblInd w:w="0" w:type="dxa"/>
        <w:tblLayout w:type="fixed"/>
        <w:tblCellMar>
          <w:top w:w="0" w:type="dxa"/>
          <w:left w:w="0" w:type="dxa"/>
          <w:bottom w:w="0" w:type="dxa"/>
          <w:right w:w="0" w:type="dxa"/>
        </w:tblCellMar>
      </w:tblPr>
      <w:tblGrid>
        <w:gridCol w:w="4321"/>
        <w:gridCol w:w="346"/>
        <w:gridCol w:w="211"/>
        <w:gridCol w:w="676"/>
        <w:gridCol w:w="346"/>
        <w:gridCol w:w="1126"/>
        <w:gridCol w:w="361"/>
        <w:gridCol w:w="211"/>
        <w:gridCol w:w="676"/>
        <w:gridCol w:w="346"/>
        <w:gridCol w:w="1126"/>
        <w:gridCol w:w="271"/>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743835" cy="175260"/>
                      <wp:effectExtent l="0" t="0" r="0" b="0"/>
                      <wp:wrapNone/>
                      <wp:docPr id="439" name="Frame43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29260" cy="175260"/>
                      <wp:effectExtent l="0" t="0" r="0" b="0"/>
                      <wp:wrapNone/>
                      <wp:docPr id="442"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15010" cy="175260"/>
                      <wp:effectExtent l="0" t="0" r="0" b="0"/>
                      <wp:wrapNone/>
                      <wp:docPr id="444" name="Frame44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29235" cy="175260"/>
                      <wp:effectExtent l="0" t="0" r="0" b="0"/>
                      <wp:wrapNone/>
                      <wp:docPr id="445" name="Frame4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29260" cy="175260"/>
                      <wp:effectExtent l="0" t="0" r="0" b="0"/>
                      <wp:wrapNone/>
                      <wp:docPr id="447" name="Frame4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715010" cy="175260"/>
                      <wp:effectExtent l="0" t="0" r="0" b="0"/>
                      <wp:wrapNone/>
                      <wp:docPr id="449" name="Frame44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72085" cy="175260"/>
                      <wp:effectExtent l="0" t="0" r="0" b="0"/>
                      <wp:wrapNone/>
                      <wp:docPr id="450" name="Frame4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97790" cy="175260"/>
                      <wp:effectExtent l="0" t="0" r="0" b="0"/>
                      <wp:wrapNone/>
                      <wp:docPr id="451" name="Frame4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23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51,661</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53,931</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selling, general and administrative expenses in our Beverage Solutions segment decreased $18.8 million to $32.9 million for the three months ended June 30, 2026, compared to the three months ended June 30, 2025. The decrease is primarily due to a $13.8 million decrease in start-up costs associated with our Conway, Arkansas extract and ready-to-drink manufacturing facility (the “Conway Facility”) and a $2.9 million decrease in equity-based compensation expense. In our SS&amp;T segment, selling, general and administrative costs increased $0.8 million for the three months ended June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30, 2026, primarily due to a $0.5 million increase in general and administrative expenses and a $0.2 million increase in personnel-related costs compared to the three months ended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Transaction, restructuring and integration expense for the three months ended June 30, 2026 was $3.2 million, approximately $1.3 million of which related to non-capitalizable costs associated with the Sixth Amendment. During the three months ended June 30, 2025, we incurred $2.5 million of transaction, restructuring and integration expenses, approximately $1.9 million of which related to severance costs and $0.4 million of which related to fees related to the establishment of our accounts receivable factoring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for the three months ended June 30, 2026 was $13.0 million compared to $13.1 million for the three months ended June 30, 2025. </w:t>
      </w:r>
    </w:p>
    <w:tbl>
      <w:tblPr>
        <w:tblW w:w="6785" w:type="dxa"/>
        <w:jc w:val="left"/>
        <w:tblInd w:w="0" w:type="dxa"/>
        <w:tblLayout w:type="fixed"/>
        <w:tblCellMar>
          <w:top w:w="0" w:type="dxa"/>
          <w:left w:w="0" w:type="dxa"/>
          <w:bottom w:w="0" w:type="dxa"/>
          <w:right w:w="0" w:type="dxa"/>
        </w:tblCellMar>
      </w:tblPr>
      <w:tblGrid>
        <w:gridCol w:w="3976"/>
        <w:gridCol w:w="346"/>
        <w:gridCol w:w="230"/>
        <w:gridCol w:w="736"/>
        <w:gridCol w:w="377"/>
        <w:gridCol w:w="230"/>
        <w:gridCol w:w="736"/>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524760" cy="175260"/>
                      <wp:effectExtent l="0" t="0" r="0" b="0"/>
                      <wp:wrapNone/>
                      <wp:docPr id="452" name="Frame451"/>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6050" cy="175260"/>
                      <wp:effectExtent l="0" t="0" r="0" b="0"/>
                      <wp:wrapNone/>
                      <wp:docPr id="454" name="Frame45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67360" cy="175260"/>
                      <wp:effectExtent l="0" t="0" r="0" b="0"/>
                      <wp:wrapNone/>
                      <wp:docPr id="455" name="Frame4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39395" cy="175260"/>
                      <wp:effectExtent l="0" t="0" r="0" b="0"/>
                      <wp:wrapNone/>
                      <wp:docPr id="456" name="Frame455"/>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46050" cy="175260"/>
                      <wp:effectExtent l="0" t="0" r="0" b="0"/>
                      <wp:wrapNone/>
                      <wp:docPr id="457" name="Frame45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67360" cy="175260"/>
                      <wp:effectExtent l="0" t="0" r="0" b="0"/>
                      <wp:wrapNone/>
                      <wp:docPr id="458" name="Frame45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97790" cy="175260"/>
                      <wp:effectExtent l="0" t="0" r="0" b="0"/>
                      <wp:wrapNone/>
                      <wp:docPr id="459" name="Frame4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c>
          <w:tcPr>
            <w:tcW w:w="377"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12,990</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for the three months ended June 30, 2026 was $0.4 million, resulting in an effective tax rate of 2.8%. The effective tax rate for the current period differs from the federal statutory rate primarily due to the effect of cross-border tax laws (specifically, net CFC tested income) and an increase in the valuation allowance against domestic deferred tax assets. Income tax benefit for the three months ended June 30, 2025 was $0.4 million, resulting in an effective tax rate of 1.7%.</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4290"/>
        <w:gridCol w:w="346"/>
        <w:gridCol w:w="305"/>
        <w:gridCol w:w="1004"/>
        <w:gridCol w:w="346"/>
        <w:gridCol w:w="781"/>
        <w:gridCol w:w="271"/>
        <w:gridCol w:w="109"/>
        <w:gridCol w:w="305"/>
        <w:gridCol w:w="1004"/>
        <w:gridCol w:w="346"/>
        <w:gridCol w:w="781"/>
        <w:gridCol w:w="317"/>
      </w:tblGrid>
      <w:tr>
        <w:trPr/>
        <w:tc>
          <w:tcPr>
            <w:tcW w:w="4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724150" cy="175260"/>
                      <wp:effectExtent l="0" t="0" r="0" b="0"/>
                      <wp:wrapNone/>
                      <wp:docPr id="460" name="Frame459"/>
                      <a:graphic xmlns:a="http://schemas.openxmlformats.org/drawingml/2006/main">
                        <a:graphicData uri="http://schemas.microsoft.com/office/word/2010/wordprocessingShape">
                          <wps:wsp>
                            <wps:cNvSpPr txBox="1"/>
                            <wps:spPr>
                              <a:xfrm>
                                <a:off x="0" y="0"/>
                                <a:ext cx="272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93675" cy="175260"/>
                      <wp:effectExtent l="0" t="0" r="0" b="0"/>
                      <wp:wrapNone/>
                      <wp:docPr id="462" name="Frame46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37540" cy="175260"/>
                      <wp:effectExtent l="0" t="0" r="0" b="0"/>
                      <wp:wrapNone/>
                      <wp:docPr id="463" name="Frame462"/>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95935" cy="175260"/>
                      <wp:effectExtent l="0" t="0" r="0" b="0"/>
                      <wp:wrapNone/>
                      <wp:docPr id="465" name="Frame4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72085" cy="175260"/>
                      <wp:effectExtent l="0" t="0" r="0" b="0"/>
                      <wp:wrapNone/>
                      <wp:docPr id="466" name="Frame46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93675" cy="175260"/>
                      <wp:effectExtent l="0" t="0" r="0" b="0"/>
                      <wp:wrapNone/>
                      <wp:docPr id="468" name="Frame46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37540" cy="175260"/>
                      <wp:effectExtent l="0" t="0" r="0" b="0"/>
                      <wp:wrapNone/>
                      <wp:docPr id="469" name="Frame468"/>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95935" cy="175260"/>
                      <wp:effectExtent l="0" t="0" r="0" b="0"/>
                      <wp:wrapNone/>
                      <wp:docPr id="471" name="Frame4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1295" cy="175260"/>
                      <wp:effectExtent l="0" t="0" r="0" b="0"/>
                      <wp:wrapNone/>
                      <wp:docPr id="472" name="Frame47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7" w:type="dxa"/>
            <w:tcBorders/>
            <w:vAlign w:val="center"/>
          </w:tcPr>
          <w:p>
            <w:pPr>
              <w:pStyle w:val="TableContents"/>
              <w:bidi w:val="0"/>
              <w:spacing w:before="0" w:after="0"/>
              <w:ind w:left="0" w:right="0" w:hanging="0"/>
              <w:jc w:val="center"/>
              <w:rPr/>
            </w:pPr>
            <w:r>
              <w:rPr/>
              <w:t> </w:t>
            </w:r>
          </w:p>
        </w:tc>
      </w:tr>
      <w:tr>
        <w:trPr/>
        <w:tc>
          <w:tcPr>
            <w:tcW w:w="42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7" w:type="dxa"/>
            <w:tcBorders/>
            <w:vAlign w:val="center"/>
          </w:tcPr>
          <w:p>
            <w:pPr>
              <w:pStyle w:val="TableContents"/>
              <w:bidi w:val="0"/>
              <w:spacing w:before="0" w:after="0"/>
              <w:ind w:left="0" w:right="0" w:hanging="0"/>
              <w:jc w:val="center"/>
              <w:rPr/>
            </w:pPr>
            <w:r>
              <w:rPr/>
              <w:t> </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614,483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494,655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530,967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424,187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70,468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73,819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81,708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(48,781)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Series A Convertible Preferred Shares</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tbl>
      <w:tblPr>
        <w:tblW w:w="6022" w:type="dxa"/>
        <w:jc w:val="left"/>
        <w:tblInd w:w="0" w:type="dxa"/>
        <w:tblLayout w:type="fixed"/>
        <w:tblCellMar>
          <w:top w:w="0" w:type="dxa"/>
          <w:left w:w="0" w:type="dxa"/>
          <w:bottom w:w="0" w:type="dxa"/>
          <w:right w:w="0" w:type="dxa"/>
        </w:tblCellMar>
      </w:tblPr>
      <w:tblGrid>
        <w:gridCol w:w="3241"/>
        <w:gridCol w:w="346"/>
        <w:gridCol w:w="211"/>
        <w:gridCol w:w="781"/>
        <w:gridCol w:w="346"/>
        <w:gridCol w:w="211"/>
        <w:gridCol w:w="886"/>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58035" cy="175260"/>
                      <wp:effectExtent l="0" t="0" r="0" b="0"/>
                      <wp:wrapNone/>
                      <wp:docPr id="473" name="Frame472"/>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95935" cy="175260"/>
                      <wp:effectExtent l="0" t="0" r="0" b="0"/>
                      <wp:wrapNone/>
                      <wp:docPr id="476" name="Frame4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62610" cy="175260"/>
                      <wp:effectExtent l="0" t="0" r="0" b="0"/>
                      <wp:wrapNone/>
                      <wp:docPr id="479" name="Frame4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372,893</w:t>
            </w:r>
          </w:p>
        </w:tc>
      </w:tr>
      <w:tr>
        <w:trPr/>
        <w:tc>
          <w:tcPr>
            <w:tcW w:w="32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121,762</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494,655</w:t>
            </w:r>
          </w:p>
        </w:tc>
      </w:tr>
    </w:tbl>
    <w:tbl>
      <w:tblPr>
        <w:tblW w:w="2706" w:type="dxa"/>
        <w:jc w:val="left"/>
        <w:tblInd w:w="0" w:type="dxa"/>
        <w:tblLayout w:type="fixed"/>
        <w:tblCellMar>
          <w:top w:w="28" w:type="dxa"/>
          <w:left w:w="28" w:type="dxa"/>
          <w:bottom w:w="28" w:type="dxa"/>
          <w:right w:w="28" w:type="dxa"/>
        </w:tblCellMar>
      </w:tblPr>
      <w:tblGrid>
        <w:gridCol w:w="124"/>
        <w:gridCol w:w="31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of intersegment revenues.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from our Beverage Solutions segment were $483.2 million for the six months ended June 30, 2026, increasing 29.6% compared to $372.9 million for the six months ended June 30, 2025. The increase was primarily due to a $63.2 million increase in the sale of coffee and tea products, driven by a 11.6% increase in single serve cup volumes and the year over year increases in coffee commodity prices and tariffs, both of which are passed through to our customers. In addition, sales of flavors, extracts &amp; ingredients products increased $47.4 million, driven by a 183.4% increase in can volumes and the ramp up of glass bottle production.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Sales from our SS&amp;T segment, net of intersegment revenues, were $131.3 million for the six months ended June 30, 2026, increasing 7.8% compared to $121.8 million for the six months ended June 30, 2025. The increase was primarily driven by an increase in the average sales price per pound, which increased 3.2% for the six months ended June 30, 2026, compared to the six months ended June 30, 2025. The increase in the average sales price per pound is directly correlated to global commodities prices and the impact of tariffs.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Costs of Sales</w:t>
      </w:r>
    </w:p>
    <w:tbl>
      <w:tblPr>
        <w:tblW w:w="5857" w:type="dxa"/>
        <w:jc w:val="left"/>
        <w:tblInd w:w="0" w:type="dxa"/>
        <w:tblLayout w:type="fixed"/>
        <w:tblCellMar>
          <w:top w:w="0" w:type="dxa"/>
          <w:left w:w="0" w:type="dxa"/>
          <w:bottom w:w="0" w:type="dxa"/>
          <w:right w:w="0" w:type="dxa"/>
        </w:tblCellMar>
      </w:tblPr>
      <w:tblGrid>
        <w:gridCol w:w="3076"/>
        <w:gridCol w:w="346"/>
        <w:gridCol w:w="211"/>
        <w:gridCol w:w="781"/>
        <w:gridCol w:w="346"/>
        <w:gridCol w:w="211"/>
        <w:gridCol w:w="88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953260" cy="175260"/>
                      <wp:effectExtent l="0" t="0" r="0" b="0"/>
                      <wp:wrapNone/>
                      <wp:docPr id="480" name="Frame479"/>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95935" cy="175260"/>
                      <wp:effectExtent l="0" t="0" r="0" b="0"/>
                      <wp:wrapNone/>
                      <wp:docPr id="483" name="Frame4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62610" cy="175260"/>
                      <wp:effectExtent l="0" t="0" r="0" b="0"/>
                      <wp:wrapNone/>
                      <wp:docPr id="486" name="Frame4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315,898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108,289</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424,187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increased to $415.2 million for the six months ended June 30, 2026, from $315.9 million for the six months ended June 30, 2025. The increase in costs of sales was primarily driven by an increase in sales volumes, and the year over year increases in coffee commodity prices and tariffs for the six months ended June 30, 2026 compared to the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our SS&amp;T segment, costs of sales increased $7.5 million to $115.8 million for the six months ended June 30, 2026 compared to the six months ended June 30, 2025. This increase is primarily due to an increase in coffee commodity prices and the impact of tariffs.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062" w:type="dxa"/>
        <w:jc w:val="left"/>
        <w:tblInd w:w="0" w:type="dxa"/>
        <w:tblLayout w:type="fixed"/>
        <w:tblCellMar>
          <w:top w:w="0" w:type="dxa"/>
          <w:left w:w="0" w:type="dxa"/>
          <w:bottom w:w="0" w:type="dxa"/>
          <w:right w:w="0" w:type="dxa"/>
        </w:tblCellMar>
      </w:tblPr>
      <w:tblGrid>
        <w:gridCol w:w="4321"/>
        <w:gridCol w:w="346"/>
        <w:gridCol w:w="211"/>
        <w:gridCol w:w="676"/>
        <w:gridCol w:w="346"/>
        <w:gridCol w:w="1126"/>
        <w:gridCol w:w="361"/>
        <w:gridCol w:w="211"/>
        <w:gridCol w:w="676"/>
        <w:gridCol w:w="346"/>
        <w:gridCol w:w="1126"/>
        <w:gridCol w:w="3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743835" cy="175260"/>
                      <wp:effectExtent l="0" t="0" r="0" b="0"/>
                      <wp:wrapNone/>
                      <wp:docPr id="487" name="Frame48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29260" cy="175260"/>
                      <wp:effectExtent l="0" t="0" r="0" b="0"/>
                      <wp:wrapNone/>
                      <wp:docPr id="490" name="Frame4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715010" cy="175260"/>
                      <wp:effectExtent l="0" t="0" r="0" b="0"/>
                      <wp:wrapNone/>
                      <wp:docPr id="492" name="Frame49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9235" cy="175260"/>
                      <wp:effectExtent l="0" t="0" r="0" b="0"/>
                      <wp:wrapNone/>
                      <wp:docPr id="493" name="Frame4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29260" cy="175260"/>
                      <wp:effectExtent l="0" t="0" r="0" b="0"/>
                      <wp:wrapNone/>
                      <wp:docPr id="495" name="Frame4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715010" cy="175260"/>
                      <wp:effectExtent l="0" t="0" r="0" b="0"/>
                      <wp:wrapNone/>
                      <wp:docPr id="497" name="Frame49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0660" cy="175260"/>
                      <wp:effectExtent l="0" t="0" r="0" b="0"/>
                      <wp:wrapNone/>
                      <wp:docPr id="498" name="Frame4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23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67,832</w:t>
            </w:r>
          </w:p>
        </w:tc>
        <w:tc>
          <w:tcPr>
            <w:tcW w:w="346" w:type="dxa"/>
            <w:tcBorders/>
            <w:shd w:fill="CCEEFF" w:val="clear"/>
            <w:vAlign w:val="center"/>
          </w:tcPr>
          <w:p>
            <w:pPr>
              <w:pStyle w:val="TableContents"/>
              <w:bidi w:val="0"/>
              <w:spacing w:before="0" w:after="0"/>
              <w:ind w:left="0" w:right="0" w:hanging="0"/>
              <w:jc w:val="left"/>
              <w:rPr/>
            </w:pPr>
            <w:r>
              <w:rPr/>
              <w:t>  ​ ​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89,283</w:t>
            </w:r>
          </w:p>
        </w:tc>
        <w:tc>
          <w:tcPr>
            <w:tcW w:w="346" w:type="dxa"/>
            <w:tcBorders/>
            <w:shd w:fill="CCEEFF" w:val="clear"/>
            <w:vAlign w:val="center"/>
          </w:tcPr>
          <w:p>
            <w:pPr>
              <w:pStyle w:val="TableContents"/>
              <w:bidi w:val="0"/>
              <w:spacing w:before="0" w:after="0"/>
              <w:ind w:left="0" w:right="0" w:hanging="0"/>
              <w:jc w:val="left"/>
              <w:rPr/>
            </w:pPr>
            <w:r>
              <w:rPr/>
              <w:t>  ​ ​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73,819</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94,275</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decreased $21.5 million to $67.8 million for the six months ended June 30, 2026, compared to the six months ended June 30, 2025. The decrease is primarily due to a $17.5 million decrease in start-up costs associated with the Conway Facility and a $4.3 million decrease in equity-based compensation. In our SS&amp;T segment, selling, general and administrative costs increased $1.0 million for the six months ended June 30, 2026, primarily due to a $0.5 million increase in personnel-related costs and a $0.5 million increase in general and administrative expenses compared to the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 for the six months ended June 30, 2026 was $6.8 million, approximately $3.7 million of which related to severance and other employee termination and benefit costs associated with the elimination of various positions as part of cost reduction objectives, and $1.3 million of which related to non-capitalizable costs associated with the Sixth Amendment. During the six months ended June 30, 2025, we incurred $4.3 million of transaction, restructuring and integration expenses, approximately $2.4 million of which related to severance and other employee termination and benefit costs associated with the elimination of various positions as part of cost reduction objectives, $0.8 million of plant closure costs and $0.4 million of which related to fees related to the establishment of our accounts receivable factoring agreement.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tbl>
      <w:tblPr>
        <w:tblW w:w="6547" w:type="dxa"/>
        <w:jc w:val="left"/>
        <w:tblInd w:w="0" w:type="dxa"/>
        <w:tblLayout w:type="fixed"/>
        <w:tblCellMar>
          <w:top w:w="0" w:type="dxa"/>
          <w:left w:w="0" w:type="dxa"/>
          <w:bottom w:w="0" w:type="dxa"/>
          <w:right w:w="0" w:type="dxa"/>
        </w:tblCellMar>
      </w:tblPr>
      <w:tblGrid>
        <w:gridCol w:w="3976"/>
        <w:gridCol w:w="346"/>
        <w:gridCol w:w="211"/>
        <w:gridCol w:w="676"/>
        <w:gridCol w:w="346"/>
        <w:gridCol w:w="211"/>
        <w:gridCol w:w="78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524760" cy="175260"/>
                      <wp:effectExtent l="0" t="0" r="0" b="0"/>
                      <wp:wrapNone/>
                      <wp:docPr id="499" name="Frame498"/>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29260" cy="175260"/>
                      <wp:effectExtent l="0" t="0" r="0" b="0"/>
                      <wp:wrapNone/>
                      <wp:docPr id="502" name="Frame5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33985" cy="175260"/>
                      <wp:effectExtent l="0" t="0" r="0" b="0"/>
                      <wp:wrapNone/>
                      <wp:docPr id="504"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95935" cy="175260"/>
                      <wp:effectExtent l="0" t="0" r="0" b="0"/>
                      <wp:wrapNone/>
                      <wp:docPr id="505" name="Frame5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25,718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for the six months ended June 30, 2026 was $1.6 million, resulting in an effective tax rate of (7.6)%. The effective tax rate for the current period differs from the federal statutory rate primarily due to an increase in the valuation allowance against domestic deferred tax assets. Income tax expense for the six months ended June 30, 2025 was $1.5 million, resulting in an effective tax rate of (3.1)%.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98" w:name="CriticalAccountingPoliciesandEstimates_6"/>
      <w:bookmarkEnd w:id="1598"/>
      <w:r>
        <w:rPr>
          <w:rFonts w:ascii="Times New Roman;Times;serif" w:hAnsi="Times New Roman;Times;serif"/>
          <w:b/>
          <w:sz w:val="20"/>
        </w:rPr>
        <w:t>Critical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information on our critical accounting estimates, see “Management’s Discussion and Analysis of Financial Condition and Results of Operations” and the notes to our audited financial statements included in our Annual Report on Form 10-K filed with the SEC on March 10, 2026. As of June 30, 2026, there have been no material changes to these estimates.</w:t>
      </w:r>
    </w:p>
    <w:p>
      <w:pPr>
        <w:pStyle w:val="TextBody"/>
        <w:bidi w:val="0"/>
        <w:spacing w:before="0" w:after="240"/>
        <w:ind w:left="0" w:right="0" w:hanging="0"/>
        <w:jc w:val="left"/>
        <w:rPr>
          <w:rFonts w:ascii="Times New Roman;Times;serif" w:hAnsi="Times New Roman;Times;serif"/>
          <w:b/>
          <w:sz w:val="20"/>
        </w:rPr>
      </w:pPr>
      <w:bookmarkStart w:id="1599" w:name="KeyBusinessMetrics_637621"/>
      <w:bookmarkEnd w:id="1599"/>
      <w:r>
        <w:rPr>
          <w:rFonts w:ascii="Times New Roman;Times;serif" w:hAnsi="Times New Roman;Times;serif"/>
          <w:b/>
          <w:sz w:val="20"/>
        </w:rPr>
        <w:t>Key Business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Consolidated Adjusted EBITDA to evaluate our performance, identify trends, formulate financial projections, and to make strategic decisions.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Adjusted EBITDA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our net (loss) income to EBITDA and Consolidated Adjusted EBITDA for the three and six months ended June 30, 2026 and 2025 is as follows:</w:t>
      </w:r>
    </w:p>
    <w:tbl>
      <w:tblPr>
        <w:tblW w:w="10205" w:type="dxa"/>
        <w:jc w:val="left"/>
        <w:tblInd w:w="0" w:type="dxa"/>
        <w:tblLayout w:type="fixed"/>
        <w:tblCellMar>
          <w:top w:w="0" w:type="dxa"/>
          <w:left w:w="0" w:type="dxa"/>
          <w:bottom w:w="0" w:type="dxa"/>
          <w:right w:w="0" w:type="dxa"/>
        </w:tblCellMar>
      </w:tblPr>
      <w:tblGrid>
        <w:gridCol w:w="4677"/>
        <w:gridCol w:w="346"/>
        <w:gridCol w:w="211"/>
        <w:gridCol w:w="786"/>
        <w:gridCol w:w="346"/>
        <w:gridCol w:w="211"/>
        <w:gridCol w:w="786"/>
        <w:gridCol w:w="346"/>
        <w:gridCol w:w="211"/>
        <w:gridCol w:w="786"/>
        <w:gridCol w:w="346"/>
        <w:gridCol w:w="211"/>
        <w:gridCol w:w="786"/>
        <w:gridCol w:w="156"/>
      </w:tblGrid>
      <w:tr>
        <w:trPr/>
        <w:tc>
          <w:tcPr>
            <w:tcW w:w="4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969895" cy="175260"/>
                      <wp:effectExtent l="0" t="0" r="0" b="0"/>
                      <wp:wrapNone/>
                      <wp:docPr id="506" name="Frame505"/>
                      <a:graphic xmlns:a="http://schemas.openxmlformats.org/drawingml/2006/main">
                        <a:graphicData uri="http://schemas.microsoft.com/office/word/2010/wordprocessingShape">
                          <wps:wsp>
                            <wps:cNvSpPr txBox="1"/>
                            <wps:spPr>
                              <a:xfrm>
                                <a:off x="0" y="0"/>
                                <a:ext cx="296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9110" cy="175260"/>
                      <wp:effectExtent l="0" t="0" r="0" b="0"/>
                      <wp:wrapNone/>
                      <wp:docPr id="509" name="Frame50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10"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511"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99110" cy="175260"/>
                      <wp:effectExtent l="0" t="0" r="0" b="0"/>
                      <wp:wrapNone/>
                      <wp:docPr id="512" name="Frame51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3"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99110" cy="175260"/>
                      <wp:effectExtent l="0" t="0" r="0" b="0"/>
                      <wp:wrapNone/>
                      <wp:docPr id="515" name="Frame51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9110" cy="175260"/>
                      <wp:effectExtent l="0" t="0" r="0" b="0"/>
                      <wp:wrapNone/>
                      <wp:docPr id="518" name="Frame51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99060" cy="175260"/>
                      <wp:effectExtent l="0" t="0" r="0" b="0"/>
                      <wp:wrapNone/>
                      <wp:docPr id="519" name="Frame51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(48,781)</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25,718</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26,771</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13,520</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56" w:type="dxa"/>
            <w:tcBorders/>
            <w:vAlign w:val="center"/>
          </w:tcPr>
          <w:p>
            <w:pPr>
              <w:pStyle w:val="TableContents"/>
              <w:bidi w:val="0"/>
              <w:spacing w:before="0" w:after="0"/>
              <w:ind w:left="0" w:right="0" w:hanging="0"/>
              <w:jc w:val="left"/>
              <w:rPr/>
            </w:pPr>
            <w:r>
              <w:rPr/>
              <w:t>​</w:t>
            </w:r>
          </w:p>
        </w:tc>
      </w:tr>
      <w:tr>
        <w:trPr/>
        <w:tc>
          <w:tcPr>
            <w:tcW w:w="4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467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Consolidated Adjusted EBITDA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23,561</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00" w:name="LiquidityandCapitalResources_895697"/>
      <w:bookmarkEnd w:id="1600"/>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Conway Facility,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Green coffee, which is our primary raw material, is an exchange traded agricultural commodity that is subject to price fluctuations, the reasons for which are outside of the control of the Company. In recent years, market prices for green coffee have been elevated relative to historical prices, at times exceeding $4.00 per pound of green coffee for sustained periods of time, and continue to fluctuate. Elevated market prices impact the entire supply chain, as exporters, traders, suppliers, and roasters require increased working capital to fund rising green coffee costs, and without having access to sufficient working capital, supply chain disruptions may emerge.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our liquidity may be negatively impacted by enacted and/or proposed tariffs and trading restrictions that, absent an exemption, would be applied to imported equipment, commodities and packaging materials. In February 2026, the U.S. Supreme Court ruled that tariffs imposed by executive order under the International Emergency Economic Powers Act exceeded U.S. Presidential authority. Subsequently, the Court of International Trade ordered U.S. Customs and Border Patrol to develop a framework for refunding such tariffs. Following the Supreme Court ruling, the President implemented a temporary worldwide baseline tariff of 10% under Section 122 of the Trade Act of 1974 (the “Trade Act”). These tariffs are time limited and set to expire in early fiscal 2027 if they are not extended by act of Congress. In March 2026, the US Trade Representative launched two investigations under Section 301 of the Trade Act into numerous trading partners which may build the legal foundation to impose or expand tariffs for those countries. The ultimate impact of tariffs may be difficult to predict as their amount and duration are uncertain, making our planning process more difficult. The threat of tariffs may also have adverse implications to our business and the business of our suppliers and customers. We typically are not the importers of record for commodities, other materials or capital equipment that we procured from non-U.S. sources. It is uncertain when or if any eventual tariff refunds our vendors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receive may be passed onto us. Due to the uncertainty of any future refund, we have not yet recorded a receivable for these tariffs paid. We are monitoring ongoing developments with respect to the refund process and have taken and intend to take appropriate steps to file a refund claim during the fourth quarter of fiscal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cannot predict what additional actions might be considered or implemented by the U.S. or its trade partners, particularly in the current geopolitical environment. The uncertainty could also cause disturbances in ocean shipping capacity that could affect our ability to secure ocean freight containers for our products, and create inflationary effects on our costs, in addition to the direct impact of tariffs. A persistent increase in coffee costs or tariff-impacted equipment or material costs, could adversely affect consumer demand as producers attempt to pass higher costs down the supply chain.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 possible, we will seek to recover tariff- and inflation-impacted costs by passing these costs onto our customers through periodic pricing increases. However, our pricing increases often lag our cost increases, including increases in commodity costs. A prolonged increase in “C” market prices and/or tariff-impacted costs combined with the near-term costs associated with continuing to commercialize the Conway Facility, may require us to evaluate our allocation of working capital, and if we are not able to effectively manage our working capital, or do not have access to sufficient working capital to meet our 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 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2026, we had $165.0 million of outstanding borrowings under the Revolving Credit Facility, with a weighted average interest rate of 7.2%, and we had $2.0 million of standby letters of credit outstanding. At June 30, 2026, the interest rate applicable to our Term Loan Facility was 7.2%, and the interest rate applicable to our Delayed Draw Term Loan Facility was 7.1%.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 quarterly principal payments totaling approximately $4.2 million (1.875% of the original principal balance), increasing to approximately $5.6 million (2.5% of the original principal balance) on December 31, 2026, through the maturity date.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15, 2025, the Company entered into an Incremental Assumption Agreement and Amendment No. 4 (the “Fourth Amendment”) to the Credit Agreement. The Fourth Amendment expanded the syndicate to include member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Fourth Amendment also modified the secured net leverage ratio that the Company must comply with during the covenant relief period (the “Covenant Relief Period”), which commenced on June 30, 2023 in connection with Amendment No. 2 to the Credit Agreement, increasing the maximum secured net leverage ratio to (a) 6.00x for the test period ending June 30, 2025, (b) 5.50x for the test period ending September 30, 2025, and (c) 5.25x for the test period ending December 31, 2025. In addition, the Fourth Amendment provided that the minimum liquidity covenant will not apply after the Covenant Relief Period ends.</w:t>
      </w:r>
    </w:p>
    <w:p>
      <w:pPr>
        <w:pStyle w:val="TextBody"/>
        <w:bidi w:val="0"/>
        <w:spacing w:before="0" w:after="240"/>
        <w:ind w:left="0" w:right="0"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entered into Amendment No. 5 (the “Fifth Amendment”) to the Credit Agreement. The Fifth Amendment modified and extended the existing Covenant Relief Period, to end on the earlier to occur of (i) October 1, 2026 and (ii) any date following June 30, 2024, on which the Borrower elects to terminate the Covenant Relief Period subject to satisfaction of certain conditions.</w:t>
      </w:r>
    </w:p>
    <w:p>
      <w:pPr>
        <w:pStyle w:val="TextBody"/>
        <w:bidi w:val="0"/>
        <w:spacing w:before="0" w:after="0"/>
        <w:ind w:left="60" w:right="219" w:firstLine="648"/>
        <w:jc w:val="both"/>
        <w:rPr/>
      </w:pPr>
      <w:r>
        <w:rPr/>
        <w:t> </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 (as defined below).</w:t>
      </w:r>
    </w:p>
    <w:p>
      <w:pPr>
        <w:pStyle w:val="TextBody"/>
        <w:bidi w:val="0"/>
        <w:spacing w:before="0" w:after="0"/>
        <w:ind w:left="0" w:right="219" w:firstLine="648"/>
        <w:jc w:val="left"/>
        <w:rPr/>
      </w:pPr>
      <w:r>
        <w:rPr/>
        <w:t>​</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 xml:space="preserve">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The Credit Agreement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The minimum liquidity covenant will not apply after the Covenant Relief Period ends. </w:t>
      </w:r>
    </w:p>
    <w:p>
      <w:pPr>
        <w:pStyle w:val="TextBody"/>
        <w:bidi w:val="0"/>
        <w:spacing w:before="0" w:after="0"/>
        <w:ind w:left="0" w:right="219"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2026, the Company entered into Amendment No. 6 (the “Sixth Amendment”) to the Credit Agreement. The Sixth Amendment extends the maturity date of approximately $360.7 million of the loans and commitments under its credit facilities from August 29, 2027 to November 29, 2028 and makes certain restricted payments subject to the secured net leverage ratio being no greater than 3.75x and liquidity being no less than $25.0 million, in each case on a pro forma basis. Approximately $25.8 million of the loans and commitments under its credit facilities will continue to mature on August 29, 2027. In connection with the Sixth Amendment, Texas Capital Bank has also become a lender.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on June 30, 2026, the Borrower elected to terminate the Covenant Relief Period under the Credit Agreement prior to its scheduled expiration on October 1, 2026. As a result, the applicable margin on any loans will decrease, certain restrictions limited to the covenant relief period will no longer apply, and the maximum permitted secured net leverage ratio under the secured net leverage ratio financial covenant decreased from 5.00x to 4.00x for the test period ended June 30, 2026, and from 4.50x to 4.00x for the test period ending September 30, 2026. As of the date of this Quarterly Report on Form 10-Q, the Company was in compliance with its financial covenants.</w:t>
      </w:r>
    </w:p>
    <w:p>
      <w:pPr>
        <w:pStyle w:val="TextBody"/>
        <w:bidi w:val="0"/>
        <w:spacing w:before="0" w:after="0"/>
        <w:ind w:left="0" w:right="219"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216"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believes that its secured net leverage under the Credit Agreement is important to the understanding of the Company’s financial condition and liquidity. At June 30, 2026, the Company’s secured net leverage ratio was 3.36:1.00, compared to a maximum allowable ratio of 4.00:1.00, with such calculation set forth below:</w:t>
      </w:r>
    </w:p>
    <w:tbl>
      <w:tblPr>
        <w:tblW w:w="8463" w:type="dxa"/>
        <w:jc w:val="left"/>
        <w:tblInd w:w="0" w:type="dxa"/>
        <w:tblLayout w:type="fixed"/>
        <w:tblCellMar>
          <w:top w:w="0" w:type="dxa"/>
          <w:left w:w="0" w:type="dxa"/>
          <w:bottom w:w="0" w:type="dxa"/>
          <w:right w:w="0" w:type="dxa"/>
        </w:tblCellMar>
      </w:tblPr>
      <w:tblGrid>
        <w:gridCol w:w="5551"/>
        <w:gridCol w:w="346"/>
        <w:gridCol w:w="346"/>
        <w:gridCol w:w="451"/>
        <w:gridCol w:w="1769"/>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524885" cy="175260"/>
                      <wp:effectExtent l="0" t="0" r="0" b="0"/>
                      <wp:wrapNone/>
                      <wp:docPr id="520" name="Frame519"/>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86385" cy="175260"/>
                      <wp:effectExtent l="0" t="0" r="0" b="0"/>
                      <wp:wrapNone/>
                      <wp:docPr id="523" name="Frame52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123315" cy="175260"/>
                      <wp:effectExtent l="0" t="0" r="0" b="0"/>
                      <wp:wrapNone/>
                      <wp:docPr id="524" name="Frame523"/>
                      <a:graphic xmlns:a="http://schemas.openxmlformats.org/drawingml/2006/main">
                        <a:graphicData uri="http://schemas.microsoft.com/office/word/2010/wordprocessingShape">
                          <wps:wsp>
                            <wps:cNvSpPr txBox="1"/>
                            <wps:spPr>
                              <a:xfrm>
                                <a:off x="0" y="0"/>
                                <a:ext cx="1123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0" w:type="dxa"/>
            <w:gridSpan w:val="2"/>
            <w:tcBorders/>
            <w:vAlign w:val="center"/>
          </w:tcPr>
          <w:p>
            <w:pPr>
              <w:pStyle w:val="TableContents"/>
              <w:bidi w:val="0"/>
              <w:spacing w:before="0" w:after="1"/>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 except leverage ratio)</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Trailing Twelve-Months</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Beverage Solutions Segment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84,669</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Permissible credit agreement adjustments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8,505</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 Twelve-Months Credit Agreement 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93,174</w: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left"/>
              <w:rPr/>
            </w:pPr>
            <w:r>
              <w:rPr/>
              <w:t>​</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left"/>
              <w:rPr/>
            </w:pPr>
            <w:r>
              <w:rPr/>
              <w:t>​</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138,906</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43,438</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165,000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Letters of credit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debt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349,324</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Beverage Solutions unrestricted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(36,177)</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net debt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313,147</w:t>
            </w:r>
          </w:p>
        </w:tc>
      </w:tr>
      <w:tr>
        <w:trPr/>
        <w:tc>
          <w:tcPr>
            <w:tcW w:w="55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right"/>
              <w:rPr/>
            </w:pPr>
            <w:r>
              <w:rPr/>
              <w:t>​</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Beverage Solutions Credit Agreement secured net leverage ratio</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3.36x</w:t>
            </w:r>
          </w:p>
        </w:tc>
      </w:tr>
    </w:tbl>
    <w:p>
      <w:pPr>
        <w:pStyle w:val="TextBody"/>
        <w:bidi w:val="0"/>
        <w:spacing w:before="0" w:after="240"/>
        <w:ind w:left="0" w:right="0" w:hanging="0"/>
        <w:jc w:val="left"/>
        <w:rPr>
          <w:shd w:fill="FFFF00" w:val="clear"/>
        </w:rPr>
      </w:pPr>
      <w:r>
        <w:rPr>
          <w:shd w:fill="FFFF00" w:val="clear"/>
        </w:rPr>
        <w:t>​</w:t>
      </w:r>
    </w:p>
    <w:tbl>
      <w:tblPr>
        <w:tblW w:w="7401" w:type="dxa"/>
        <w:jc w:val="left"/>
        <w:tblInd w:w="0" w:type="dxa"/>
        <w:tblLayout w:type="fixed"/>
        <w:tblCellMar>
          <w:top w:w="28" w:type="dxa"/>
          <w:left w:w="28" w:type="dxa"/>
          <w:bottom w:w="28" w:type="dxa"/>
          <w:right w:w="28" w:type="dxa"/>
        </w:tblCellMar>
      </w:tblPr>
      <w:tblGrid>
        <w:gridCol w:w="124"/>
        <w:gridCol w:w="271"/>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Consists primarily of pro forma run-rate impact of cost savings initiatives, as permitted by the Credit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trailing twelve-months Beverage Solutions Adjusted EBITDA is as follows:</w:t>
      </w:r>
    </w:p>
    <w:p>
      <w:pPr>
        <w:pStyle w:val="TextBody"/>
        <w:bidi w:val="0"/>
        <w:spacing w:before="0" w:after="0"/>
        <w:ind w:left="0" w:right="0" w:hanging="0"/>
        <w:jc w:val="left"/>
        <w:rPr/>
      </w:pPr>
      <w:r>
        <w:rPr/>
        <w:t>​</w:t>
      </w:r>
    </w:p>
    <w:tbl>
      <w:tblPr>
        <w:tblW w:w="6551" w:type="dxa"/>
        <w:jc w:val="left"/>
        <w:tblInd w:w="0" w:type="dxa"/>
        <w:tblLayout w:type="fixed"/>
        <w:tblCellMar>
          <w:top w:w="0" w:type="dxa"/>
          <w:left w:w="0" w:type="dxa"/>
          <w:bottom w:w="0" w:type="dxa"/>
          <w:right w:w="0" w:type="dxa"/>
        </w:tblCellMar>
      </w:tblPr>
      <w:tblGrid>
        <w:gridCol w:w="5281"/>
        <w:gridCol w:w="109"/>
        <w:gridCol w:w="109"/>
        <w:gridCol w:w="211"/>
        <w:gridCol w:w="84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353435" cy="175260"/>
                      <wp:effectExtent l="0" t="0" r="0" b="0"/>
                      <wp:wrapNone/>
                      <wp:docPr id="525" name="Frame524"/>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27" name="Frame5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534035" cy="175260"/>
                      <wp:effectExtent l="0" t="0" r="0" b="0"/>
                      <wp:wrapNone/>
                      <wp:docPr id="529" name="Frame5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68,481</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45,441</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(29,253)</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 Twelve-Months Beverage Solutions Adjusted EBITDA</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84,669</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“2029 Convertible Notes”), of which $52.0 million was from related parties (see Note 19). The 2029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2029 Convertible Notes are carried at amortized cost and are recorded in long-term debt, net and convertible notes payable – related party, net on the Condensed Consolidated Balance Sheets. At June 30, 2026, the carrying value of the 2029 Convertible Notes was $71.7 million, of which $51.8 million was from related parties. We incurred a total of $0.5 million of financing fees in connection with the 2029 Convertible Notes, which were ratably allocated to the convertible notes payable and the convertible notes payable – related party, respectively, and are being amortized into interest expense over the remaining term of the 2029 Convertible Notes utilizing the effective interest rate method.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2029 Convertible Notes, noteholders may convert their 2029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pStyle w:val="TextBody"/>
        <w:bidi w:val="0"/>
        <w:spacing w:before="0" w:after="240"/>
        <w:ind w:left="0" w:right="0"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On November 4, 2025, the Company sold and issued in a private placement $30.0 million in aggregate principal amount of 5.00% convertible senior notes due 2031 (the “2031 Convertible Notes,” together with the 2029 Convertible Notes, the “Convertible Notes”), of which $13.5 million was from related parties (see Note 19). The 2031 Convertible Notes are unsecured, senior obligations of the Company and accrue interest at a rate of 5.00% per annum. </w:t>
      </w:r>
    </w:p>
    <w:p>
      <w:pPr>
        <w:pStyle w:val="TextBody"/>
        <w:bidi w:val="0"/>
        <w:spacing w:before="0" w:after="0"/>
        <w:ind w:left="0" w:right="216"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The 2031 Convertible Notes are carried at amortized cost and are recorded in long-term debt, net and convertible notes payable – related party, net on the Condensed Consolidated Balance Sheets. At June 30, 2026, the carrying value of the 2031 Convertible Notes was $29.0 million, of which $13.0 million was from related parties. </w:t>
      </w:r>
    </w:p>
    <w:p>
      <w:pPr>
        <w:pStyle w:val="TextBody"/>
        <w:bidi w:val="0"/>
        <w:spacing w:before="0" w:after="0"/>
        <w:ind w:left="0" w:right="216"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Convertible Notes do not contain any financial or operating covenants or restrictions on the payments of dividends, the incurrence of indebtedness or the issuance or repurchase of securities by the Company or any of its subsidiaries. The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2029 Convertible Notes and/or 2031 Convertible Notes to become due and payable immediately. If an event of default involving certain events of bankruptcy, insolvency or reorganization occurs, then the principal amount of, and all accrued and unpaid interest on, all of the 2029 Convertible Notes and/or 2031 Convertible Notes then outstanding will immediately become due and payable without any further action or notice by any person.</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International Debt and Lending Facilities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2025, Falcon Coffees Limited (“Falcon”), our subsidiary, renewed its working capital trade finance facility with multiple institutions, increasing the facility size from $75.0 million to $85.0 million on March 7, 2025 and from $85.0 million to $102.5 million on July 23, 2025. Most recently, Falcon renewed its working capital trade finance facility with multiple institutions on March 5, 2026, increasing its facility size from $102.5 million to $110.0 million. The facility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 there was $55.8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June 30, 2026.</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 Borrowings under the facility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 there was $6.4 million of outstanding borrowings under the facility, of which $4.9 million and $1.5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June 30, 2026.</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Supply Chain Finance Program</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As of June 30, 2026, there were $97.5 million obligations outstanding under the Program.</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Times;serif" w:hAnsi="Times New Roman;Times;serif"/>
          <w:i/>
          <w:sz w:val="20"/>
        </w:rPr>
        <w:t xml:space="preserve">Transfers and Servicing </w:t>
      </w:r>
      <w:r>
        <w:rPr>
          <w:rFonts w:ascii="Times New Roman;Times;serif" w:hAnsi="Times New Roman;Times;serif"/>
          <w:sz w:val="20"/>
        </w:rPr>
        <w:t>(“ASC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2026, the Company received cash proceeds of $152.4 million related to the sale of receivables under the Factoring Agreement, remitted approximately $159.3 million of customer payments to the Factor, and incurred approximately $0.8 million of fees associated with these sales, which are recorded within selling, general and administrative expense on the Condensed Consolidated Statements of Operations. At June 30, 2026, the Company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held $5.8 million of customer payments that have yet to be remitted to the Factor, which is recorded within restricted cash on the Condensed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Green Coffee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June 30, 2026 and December 31, 2025, the Company had a right, or obligation, to repurchase $3.5 million and $11.8 million, respectively, of green coffee from the financing provider. The liability for Repo Transactions is recorded within accrued expenses and other current liabilities on the Company’s Condensed Consolidated Balance Sheets. Cash flows related to Repo Transactions are reported as financing activities in our Condensed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Common Stock Offering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This program is intended to provide additional financial flexibility and an alternative mechanism to access the capital markets at an efficient cost as and when we need financing, including for acquisitions. During the three and six months ended June 30, 2026, the Company had no sales of Common Shares under the ATM Program. As of June 30, 2026, there were 3,030,324 of remaining shares authorized to be sold under the ATM Program.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Current and Long-Term Liquidity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liquidity needs are to fund operating expenses, meet debt service obligations, and fund both current and long-term investment activities, which include capital expenditures. We believe cash from operations, and borrowings available under the Revolving Credit Facility will provide sufficient cash on-hand to fund our operating expenses, debt service, near-term investment activities and near-term growth strategies, which include, (i) extending and enhancing product offerings through innovation, (ii) expanding our customer base and (iii) continuing to drive margin expansion. However, the Company will continuously evaluate its liquidity needs, especially in light of “C” market price volatility and tariff and trading restrictions (as discussed above) and may seek to opportunistically access additional liquidity, including through either the debt or equity capital markets. If it is determined that we have insufficient liquidity to fund our operating expenses, debt service and near-term investment activities, we may delay and/or reprioritize our near-term growth strategies, which may have an adverse impact on our ability to achieve our growth objectives.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cash from operations, borrowings available under the Revolving Credit Facility and our ability to obtain future financing will provide sufficient cash on hand to fund our long-term liquidity needs and growth strategies, which include (i) expanding geographically and (ii) finding accretive acquisitions.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Redemptions of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Westrock Series A Preferred Shares remains $11.50 per share and all 23,510,527 Westrock Series A Preferred Shares outstanding at June 30, 2026 remain outstanding after February 26, 2028, we estimate an aggregate redemption payment of at least approximately $270.4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million. If Westrock was required by the holders to redeem a significant number of Westrock Series A Preferred Shares, Westrock may not have enough cash available (including through draws on its credit facility) for other purposes such as paying dividends on the Common Shares, purchasing Common Shares, financing acquisitions or other expansions, paying employee incentives and/or executing its business strategy. An outflow of a significant amount of cash from Westrock as a result of redemptions of the Westrock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Contractual and Other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material contractual and other obligations include the payment of principal and interest under our debt obligations and future purchase of inventory obligations. 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We have no other material obligations to pay principal amounts of our long-term debt obligations prior to their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purchase obligations of $292.3 million as of June 30, 2026 consist of commitments for the purchase of inventory over the next 12 months. These obligations represent the minimum contractual obligations expected under the normal course of business. There are no material purchase obligations beyond 12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2026, we had a right or obligation to repurchase $3.5 million of inventory associated with Repo Transactions, for which the liability is recorded within accrued expenses and other current liabilities on the Company’s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categorize our capital expenditures as (i) growth, (ii) maintenance, (iii) customer beverage equipment or (iv)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expenditures for the six months ended June 30, 2026 and 2025 were as follows:</w:t>
      </w:r>
    </w:p>
    <w:tbl>
      <w:tblPr>
        <w:tblW w:w="9074" w:type="dxa"/>
        <w:jc w:val="left"/>
        <w:tblInd w:w="0" w:type="dxa"/>
        <w:tblLayout w:type="fixed"/>
        <w:tblCellMar>
          <w:top w:w="0" w:type="dxa"/>
          <w:left w:w="0" w:type="dxa"/>
          <w:bottom w:w="0" w:type="dxa"/>
          <w:right w:w="0" w:type="dxa"/>
        </w:tblCellMar>
      </w:tblPr>
      <w:tblGrid>
        <w:gridCol w:w="2761"/>
        <w:gridCol w:w="346"/>
        <w:gridCol w:w="211"/>
        <w:gridCol w:w="676"/>
        <w:gridCol w:w="346"/>
        <w:gridCol w:w="279"/>
        <w:gridCol w:w="757"/>
        <w:gridCol w:w="346"/>
        <w:gridCol w:w="294"/>
        <w:gridCol w:w="592"/>
        <w:gridCol w:w="346"/>
        <w:gridCol w:w="211"/>
        <w:gridCol w:w="571"/>
        <w:gridCol w:w="346"/>
        <w:gridCol w:w="211"/>
        <w:gridCol w:w="78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753235" cy="175260"/>
                      <wp:effectExtent l="0" t="0" r="0" b="0"/>
                      <wp:wrapNone/>
                      <wp:docPr id="530" name="Frame52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29260" cy="175260"/>
                      <wp:effectExtent l="0" t="0" r="0" b="0"/>
                      <wp:wrapNone/>
                      <wp:docPr id="533" name="Frame5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77165" cy="175260"/>
                      <wp:effectExtent l="0" t="0" r="0" b="0"/>
                      <wp:wrapNone/>
                      <wp:docPr id="535" name="Frame53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80695" cy="175260"/>
                      <wp:effectExtent l="0" t="0" r="0" b="0"/>
                      <wp:wrapNone/>
                      <wp:docPr id="536" name="Frame535"/>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86690" cy="175260"/>
                      <wp:effectExtent l="0" t="0" r="0" b="0"/>
                      <wp:wrapNone/>
                      <wp:docPr id="538" name="Frame53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375920" cy="175260"/>
                      <wp:effectExtent l="0" t="0" r="0" b="0"/>
                      <wp:wrapNone/>
                      <wp:docPr id="539" name="Frame538"/>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62585" cy="175260"/>
                      <wp:effectExtent l="0" t="0" r="0" b="0"/>
                      <wp:wrapNone/>
                      <wp:docPr id="542" name="Frame5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3"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95935" cy="175260"/>
                      <wp:effectExtent l="0" t="0" r="0" b="0"/>
                      <wp:wrapNone/>
                      <wp:docPr id="545" name="Frame5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Growth</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10,981</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13,605</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58,765</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61,826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Quarterly Report on Form 10-Q, we do not have any off-balance sheet arrangements.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01" w:name="RecentAccountingPronouncements_271628"/>
      <w:bookmarkEnd w:id="1601"/>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3, “Summary of Significant Accounting Policies,” to the Condensed Consolidated Financial Statements included in Item I of Part 1 of this Quarterly Report on Form 10-Q for a detailed discussion of recent accounting pronouncements.</w:t>
      </w:r>
    </w:p>
    <w:p>
      <w:pPr>
        <w:pStyle w:val="TextBody"/>
        <w:bidi w:val="0"/>
        <w:spacing w:before="0" w:after="0"/>
        <w:ind w:left="0" w:right="0" w:hanging="0"/>
        <w:jc w:val="left"/>
        <w:rPr>
          <w:rFonts w:ascii="Times New Roman;Times;serif" w:hAnsi="Times New Roman;Times;serif"/>
          <w:b/>
          <w:sz w:val="20"/>
        </w:rPr>
      </w:pPr>
      <w:bookmarkStart w:id="1602" w:name="Item3QuantitativeandQualitative_406272"/>
      <w:bookmarkStart w:id="1603" w:name="_46652269_54af_45d5_84b9_b8fa35311517"/>
      <w:bookmarkEnd w:id="1602"/>
      <w:bookmarkEnd w:id="1603"/>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the market risks discussed in Item 7A “Quantitative and Qualitative Disclosures About Market Risk” in our Annual Report on Form 10-K filed with the SEC on March 10, 2026.</w:t>
      </w:r>
    </w:p>
    <w:p>
      <w:pPr>
        <w:pStyle w:val="TextBody"/>
        <w:bidi w:val="0"/>
        <w:spacing w:before="0" w:after="0"/>
        <w:ind w:left="0" w:right="0" w:hanging="0"/>
        <w:jc w:val="left"/>
        <w:rPr>
          <w:rFonts w:ascii="Times New Roman;Times;serif" w:hAnsi="Times New Roman;Times;serif"/>
          <w:sz w:val="20"/>
        </w:rPr>
      </w:pPr>
      <w:bookmarkStart w:id="1604" w:name="Item4ControlsandProcedures_630864"/>
      <w:bookmarkStart w:id="1605" w:name="_556d02ac_f182_405e_8e00_aa3764058255"/>
      <w:bookmarkEnd w:id="1604"/>
      <w:bookmarkEnd w:id="1605"/>
      <w:r>
        <w:rPr>
          <w:rFonts w:ascii="Times New Roman;Times;serif" w:hAnsi="Times New Roman;Times;serif"/>
          <w:b/>
          <w:sz w:val="20"/>
        </w:rPr>
        <w:t>Item 4. Controls and Procedures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of June 30, 2026, the end of the period covered by this Quarterly Report on Form 10-Q. Based on this evaluation, our Principal Executive Officer and Principal Financial Officer concluded that our disclosure controls and procedures were effective as of June 30, 2026.</w:t>
      </w:r>
    </w:p>
    <w:p>
      <w:pPr>
        <w:pStyle w:val="TextBody"/>
        <w:bidi w:val="0"/>
        <w:spacing w:before="0" w:after="0"/>
        <w:ind w:left="0" w:right="0" w:hanging="0"/>
        <w:jc w:val="left"/>
        <w:rPr/>
      </w:pPr>
      <w:r>
        <w:rPr/>
        <w:t>​</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06" w:name="PartIIOtherInformation_306270"/>
      <w:bookmarkStart w:id="1607" w:name="_c0357015_1e54_4866_98b4_3acc850a573b"/>
      <w:bookmarkEnd w:id="1606"/>
      <w:bookmarkEnd w:id="1607"/>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08" w:name="Item1LegalProceedings_521705"/>
      <w:bookmarkStart w:id="1609" w:name="_cab82acf_9f30_420d_8be3_ddf9f50e5dab"/>
      <w:bookmarkEnd w:id="1608"/>
      <w:bookmarkEnd w:id="1609"/>
      <w:r>
        <w:rPr>
          <w:rFonts w:ascii="Times New Roman;Times;serif" w:hAnsi="Times New Roman;Times;serif"/>
          <w:b/>
          <w:sz w:val="20"/>
        </w:rPr>
        <w:t>Item 1.</w:t>
      </w:r>
      <w:r>
        <w:rPr>
          <w:rFonts w:ascii="Times New Roman;Times;serif" w:hAnsi="Times New Roman;Times;serif"/>
          <w:sz w:val="20"/>
        </w:rPr>
        <w:t xml:space="preserve"> </w:t>
      </w:r>
      <w:r>
        <w:rPr>
          <w:rFonts w:ascii="Times New Roman;Times;serif" w:hAnsi="Times New Roman;Time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description of legal proceedings can be found in Note 18 “Commitments and Contingencies” to our Condensed Consolidated Financial Statements, included in this report at Part I, Item 1 - Financial Statements, and is incorporated by reference into this Item 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10" w:name="Item1ARiskFactors_173375"/>
      <w:bookmarkStart w:id="1611" w:name="_5faebbd8_daef_44bb_82ee_7aaf5d099a5a"/>
      <w:bookmarkEnd w:id="1610"/>
      <w:bookmarkEnd w:id="1611"/>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affecting our business that were described under Item 1A “Risk Factors” discussed in our Annual Report on Form 10-K filed with the SEC on March 10,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12" w:name="Item2UnregisteredSalesofEquitySecurities"/>
      <w:bookmarkStart w:id="1613" w:name="_b8b9bb82_7d20_426c_92ad_ea265e4eafe0"/>
      <w:bookmarkEnd w:id="1612"/>
      <w:bookmarkEnd w:id="1613"/>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14" w:name="Item3DefaultsUponSeniorSecurities_886089"/>
      <w:bookmarkStart w:id="1615" w:name="_26077cb9_5cb6_4762_a03d_85906d05b426"/>
      <w:bookmarkEnd w:id="1614"/>
      <w:bookmarkEnd w:id="1615"/>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16" w:name="Item4MineSafetyDisclosures_775335"/>
      <w:bookmarkStart w:id="1617" w:name="_3f80aecb_583f_4510_9f24_1f04a54a6996"/>
      <w:bookmarkEnd w:id="1616"/>
      <w:bookmarkEnd w:id="161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618" w:name="Item5OtherInformation_838386"/>
      <w:bookmarkStart w:id="1619" w:name="_22a944e5_4b24_4be2_83e4_9524903ae83d"/>
      <w:bookmarkEnd w:id="1618"/>
      <w:bookmarkEnd w:id="1619"/>
      <w:r>
        <w:rPr>
          <w:rFonts w:ascii="Times New Roman;Times;serif" w:hAnsi="Times New Roman;Times;serif"/>
          <w:b/>
          <w:sz w:val="20"/>
        </w:rPr>
        <w:t>Item 5.</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(a) </w:t>
            </w:r>
          </w:p>
        </w:tc>
        <w:tc>
          <w:tcPr>
            <w:tcW w:w="9900"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On August 5, 2026, the Company and Mr. Samuel Ford entered into an employment agreement (the “Employment Agreement”), which replaced and superseded Mr. Ford’s prior agreement with the Company. The following sets forth a summary of certain material features of the Employment Agreement. </w:t>
            </w:r>
          </w:p>
        </w:tc>
      </w:tr>
    </w:tbl>
    <w:p>
      <w:pPr>
        <w:pStyle w:val="TextBody"/>
        <w:bidi w:val="0"/>
        <w:spacing w:before="0" w:after="240"/>
        <w:ind w:left="720" w:right="0" w:hanging="0"/>
        <w:jc w:val="left"/>
        <w:rPr>
          <w:rFonts w:ascii="Times New Roman;Times;serif" w:hAnsi="Times New Roman;Times;serif"/>
          <w:spacing w:val="-4"/>
          <w:sz w:val="20"/>
        </w:rPr>
      </w:pPr>
      <w:r>
        <w:rPr>
          <w:rFonts w:ascii="Times New Roman;Times;serif" w:hAnsi="Times New Roman;Times;serif"/>
          <w:spacing w:val="-4"/>
          <w:sz w:val="20"/>
        </w:rPr>
        <w:t xml:space="preserve">The Employment Agreement provides that Mr. Ford will serve as Chief Trade &amp; Risk Officer. The term of the Employment Agreement is three years from the effective date of the agreement, subject to automatic annual one-year extensions beginning on the first anniversary of the effective date of the agreement, unless either party provides the other at least 180 days’ advance written notice of nonrenewal. Under the terms of the Employment Agreement, Mr. Ford is entitled to an annual base salary of no less than $500,000 and to participate in an annual bonus plan with a target annual bonus opportunity of 100% of his annual base salary. Mr. Ford is also eligible for long-term incentive equity awards and to participate in the employee benefit plans generally available to other senior executives of the Company. </w:t>
      </w:r>
    </w:p>
    <w:p>
      <w:pPr>
        <w:pStyle w:val="TextBody"/>
        <w:bidi w:val="0"/>
        <w:spacing w:before="0" w:after="240"/>
        <w:ind w:left="720" w:right="0" w:hanging="0"/>
        <w:jc w:val="left"/>
        <w:rPr>
          <w:rFonts w:ascii="Times New Roman;Times;serif" w:hAnsi="Times New Roman;Times;serif"/>
          <w:spacing w:val="-4"/>
          <w:sz w:val="20"/>
        </w:rPr>
      </w:pPr>
      <w:r>
        <w:rPr>
          <w:rFonts w:ascii="Times New Roman;Times;serif" w:hAnsi="Times New Roman;Times;serif"/>
          <w:spacing w:val="-4"/>
          <w:sz w:val="20"/>
        </w:rPr>
        <w:t xml:space="preserve">In the event of Mr. Ford’s termination of employment without cause or for good reason, subject to his execution of a release of claims, the Employment Agreement provides for (a) a prorated target annual incentive award, payable in a lump sum, (b) a lump sum cash severance payment equal to the product of one (or, if the termination occurs within one year following a change in control of the Company, two) multiplied by each of his annual base salary and target annual incentive opportunity in effect for the fiscal year of the Company in which the termination occurs and (c) a cash payment equal to 125% of the full amount of premiums for health insurance continuation for one year (or, if the termination occurs within one year following a change in control of the Company, two years). In the event of Mr. Ford’s termination of employment due to death, disability or retirement (when the sum of his age and years of service equal at least 70, provided that he has attained at least age 55 with at least 10 years of service), he would be entitled to a prorated target annual incentive award for the year of termination. To the extent payments under the Employment Agreement would be subject to Section 280G of the Internal Revenue Code, as amended, they will be reduced if such reduction would result in a greater after-tax payment to Mr. Ford.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spacing w:val="-4"/>
          <w:sz w:val="20"/>
        </w:rPr>
      </w:pPr>
      <w:r>
        <w:rPr>
          <w:rFonts w:ascii="Times New Roman;Times;serif" w:hAnsi="Times New Roman;Times;serif"/>
          <w:spacing w:val="-4"/>
          <w:sz w:val="20"/>
        </w:rPr>
        <w:t>The agreement contains an inventions and patent assignment covenant, perpetual confidentiality and non-disparagement covenants and covenants concerning non-competition and non-solicitation of customers and employees, which apply for one year post-termination.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(b) </w:t>
      </w:r>
      <w:r>
        <w:rPr>
          <w:rFonts w:ascii="Times New Roman;Times;serif" w:hAnsi="Times New Roman;Times;serif"/>
          <w:spacing w:val="-4"/>
          <w:sz w:val="20"/>
        </w:rPr>
        <w:t>None.</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(c) </w:t>
            </w:r>
          </w:p>
        </w:tc>
        <w:tc>
          <w:tcPr>
            <w:tcW w:w="9902"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During the three months ended June 30, 2026, none of the Company’s directors or officers (as defined in Rule 16a-1(f) of the Securities Exchange Act of 1934) adopted or terminated a Rule 10b5-1 trading arrangement or non-Rule 10b5-1 trading arrangement (as such terms are defined in Item 408 of Regulation S-K).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620" w:name="Item6Exhibits_354488"/>
      <w:bookmarkStart w:id="1621" w:name="_f1cf4de2_a5a6_46b6_b168_bf6ae2deb260"/>
      <w:bookmarkEnd w:id="1620"/>
      <w:bookmarkEnd w:id="1621"/>
      <w:r>
        <w:rPr>
          <w:rFonts w:ascii="Times New Roman;Times;serif" w:hAnsi="Times New Roman;Times;serif"/>
          <w:b/>
          <w:sz w:val="20"/>
        </w:rPr>
        <w:t>Item 6. Exhibits</w:t>
      </w:r>
    </w:p>
    <w:p>
      <w:pPr>
        <w:pStyle w:val="TextBody"/>
        <w:bidi w:val="0"/>
        <w:spacing w:before="0" w:after="0"/>
        <w:ind w:left="0" w:right="0" w:hanging="0"/>
        <w:jc w:val="center"/>
        <w:rPr>
          <w:rFonts w:ascii="Times New Roman;Times;serif" w:hAnsi="Times New Roman;Times;serif"/>
          <w:b/>
          <w:sz w:val="20"/>
        </w:rPr>
      </w:pPr>
      <w:bookmarkStart w:id="1622" w:name="Exhibit_283532"/>
      <w:bookmarkEnd w:id="1622"/>
      <w:r>
        <w:rPr>
          <w:rFonts w:ascii="Times New Roman;Times;serif" w:hAnsi="Times New Roman;Times;serif"/>
          <w:b/>
          <w:sz w:val="20"/>
        </w:rPr>
        <w:t>Exhibit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6"/>
        <w:gridCol w:w="226"/>
        <w:gridCol w:w="4197"/>
        <w:gridCol w:w="226"/>
        <w:gridCol w:w="511"/>
        <w:gridCol w:w="346"/>
        <w:gridCol w:w="715"/>
        <w:gridCol w:w="346"/>
        <w:gridCol w:w="631"/>
        <w:gridCol w:w="346"/>
        <w:gridCol w:w="782"/>
        <w:gridCol w:w="346"/>
        <w:gridCol w:w="827"/>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48310" cy="29210"/>
                      <wp:effectExtent l="0" t="0" r="0" b="0"/>
                      <wp:wrapNone/>
                      <wp:docPr id="546" name="Frame545"/>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43510" cy="175260"/>
                      <wp:effectExtent l="0" t="0" r="0" b="0"/>
                      <wp:wrapNone/>
                      <wp:docPr id="547" name="Frame5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665095" cy="29210"/>
                      <wp:effectExtent l="0" t="0" r="0" b="0"/>
                      <wp:wrapNone/>
                      <wp:docPr id="548" name="Frame547"/>
                      <a:graphic xmlns:a="http://schemas.openxmlformats.org/drawingml/2006/main">
                        <a:graphicData uri="http://schemas.microsoft.com/office/word/2010/wordprocessingShape">
                          <wps:wsp>
                            <wps:cNvSpPr txBox="1"/>
                            <wps:spPr>
                              <a:xfrm>
                                <a:off x="0" y="0"/>
                                <a:ext cx="26650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43510" cy="175260"/>
                      <wp:effectExtent l="0" t="0" r="0" b="0"/>
                      <wp:wrapNone/>
                      <wp:docPr id="549" name="Frame5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24485" cy="29210"/>
                      <wp:effectExtent l="0" t="0" r="0" b="0"/>
                      <wp:wrapNone/>
                      <wp:docPr id="550" name="Frame549"/>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54025" cy="29210"/>
                      <wp:effectExtent l="0" t="0" r="0" b="0"/>
                      <wp:wrapNone/>
                      <wp:docPr id="552" name="Frame551"/>
                      <a:graphic xmlns:a="http://schemas.openxmlformats.org/drawingml/2006/main">
                        <a:graphicData uri="http://schemas.microsoft.com/office/word/2010/wordprocessingShape">
                          <wps:wsp>
                            <wps:cNvSpPr txBox="1"/>
                            <wps:spPr>
                              <a:xfrm>
                                <a:off x="0" y="0"/>
                                <a:ext cx="454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00685" cy="29210"/>
                      <wp:effectExtent l="0" t="0" r="0" b="0"/>
                      <wp:wrapNone/>
                      <wp:docPr id="554" name="Frame553"/>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5"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96570" cy="29210"/>
                      <wp:effectExtent l="0" t="0" r="0" b="0"/>
                      <wp:wrapNone/>
                      <wp:docPr id="556" name="Frame555"/>
                      <a:graphic xmlns:a="http://schemas.openxmlformats.org/drawingml/2006/main">
                        <a:graphicData uri="http://schemas.microsoft.com/office/word/2010/wordprocessingShape">
                          <wps:wsp>
                            <wps:cNvSpPr txBox="1"/>
                            <wps:spPr>
                              <a:xfrm>
                                <a:off x="0" y="0"/>
                                <a:ext cx="496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25145" cy="29210"/>
                      <wp:effectExtent l="0" t="0" r="0" b="0"/>
                      <wp:wrapNone/>
                      <wp:docPr id="558" name="Frame557"/>
                      <a:graphic xmlns:a="http://schemas.openxmlformats.org/drawingml/2006/main">
                        <a:graphicData uri="http://schemas.microsoft.com/office/word/2010/wordprocessingShape">
                          <wps:wsp>
                            <wps:cNvSpPr txBox="1"/>
                            <wps:spPr>
                              <a:xfrm>
                                <a:off x="0" y="0"/>
                                <a:ext cx="5251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lineRule="atLeast" w:line="180" w:before="0" w:after="0"/>
              <w:ind w:left="0" w:right="0" w:hanging="0"/>
              <w:jc w:val="left"/>
              <w:rPr/>
            </w:pPr>
            <w:r>
              <w:rPr/>
              <w:t>​</w:t>
            </w:r>
          </w:p>
        </w:tc>
        <w:tc>
          <w:tcPr>
            <w:tcW w:w="226" w:type="dxa"/>
            <w:tcBorders/>
            <w:vAlign w:val="center"/>
          </w:tcPr>
          <w:p>
            <w:pPr>
              <w:pStyle w:val="TableContents"/>
              <w:bidi w:val="0"/>
              <w:spacing w:lineRule="atLeast" w:line="180" w:before="0" w:after="0"/>
              <w:ind w:left="0" w:right="0" w:hanging="0"/>
              <w:jc w:val="center"/>
              <w:rPr/>
            </w:pPr>
            <w:r>
              <w:rPr/>
              <w:t>​</w:t>
            </w:r>
          </w:p>
        </w:tc>
        <w:tc>
          <w:tcPr>
            <w:tcW w:w="4197" w:type="dxa"/>
            <w:tcBorders/>
            <w:vAlign w:val="center"/>
          </w:tcPr>
          <w:p>
            <w:pPr>
              <w:pStyle w:val="TableContents"/>
              <w:bidi w:val="0"/>
              <w:spacing w:lineRule="atLeast" w:line="180" w:before="0" w:after="0"/>
              <w:ind w:left="0" w:right="0" w:hanging="0"/>
              <w:jc w:val="center"/>
              <w:rPr/>
            </w:pPr>
            <w:r>
              <w:rPr/>
              <w:t>​</w:t>
            </w:r>
          </w:p>
        </w:tc>
        <w:tc>
          <w:tcPr>
            <w:tcW w:w="226" w:type="dxa"/>
            <w:tcBorders/>
            <w:vAlign w:val="center"/>
          </w:tcPr>
          <w:p>
            <w:pPr>
              <w:pStyle w:val="TableContents"/>
              <w:bidi w:val="0"/>
              <w:spacing w:lineRule="atLeast" w:line="180" w:before="0" w:after="0"/>
              <w:ind w:left="0" w:right="0" w:hanging="0"/>
              <w:jc w:val="center"/>
              <w:rPr/>
            </w:pPr>
            <w:r>
              <w:rPr/>
              <w:t>​</w:t>
            </w:r>
          </w:p>
        </w:tc>
        <w:tc>
          <w:tcPr>
            <w:tcW w:w="4850" w:type="dxa"/>
            <w:gridSpan w:val="9"/>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419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 ​ ​</w:t>
            </w:r>
          </w:p>
        </w:tc>
        <w:tc>
          <w:tcPr>
            <w:tcW w:w="715"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 ​ ​</w:t>
            </w:r>
          </w:p>
        </w:tc>
        <w:tc>
          <w:tcPr>
            <w:tcW w:w="782"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 ​ ​</w:t>
            </w:r>
          </w:p>
        </w:tc>
        <w:tc>
          <w:tcPr>
            <w:tcW w:w="82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706" w:type="dxa"/>
            <w:tcBorders/>
            <w:vAlign w:val="center"/>
          </w:tcPr>
          <w:p>
            <w:pPr>
              <w:pStyle w:val="TableContents"/>
              <w:bidi w:val="0"/>
              <w:spacing w:lineRule="auto" w:line="302" w:before="0" w:after="0"/>
              <w:ind w:left="0" w:right="0" w:hanging="0"/>
              <w:jc w:val="center"/>
              <w:rPr/>
            </w:pPr>
            <w:r>
              <w:rPr/>
              <w:t>​</w:t>
            </w:r>
          </w:p>
        </w:tc>
        <w:tc>
          <w:tcPr>
            <w:tcW w:w="226" w:type="dxa"/>
            <w:tcBorders/>
            <w:vAlign w:val="center"/>
          </w:tcPr>
          <w:p>
            <w:pPr>
              <w:pStyle w:val="TableContents"/>
              <w:bidi w:val="0"/>
              <w:spacing w:lineRule="auto" w:line="302" w:before="0" w:after="0"/>
              <w:ind w:left="0" w:right="0" w:hanging="0"/>
              <w:jc w:val="left"/>
              <w:rPr/>
            </w:pPr>
            <w:r>
              <w:rPr/>
              <w:t>​</w:t>
            </w:r>
          </w:p>
        </w:tc>
        <w:tc>
          <w:tcPr>
            <w:tcW w:w="4197" w:type="dxa"/>
            <w:tcBorders/>
            <w:vAlign w:val="center"/>
          </w:tcPr>
          <w:p>
            <w:pPr>
              <w:pStyle w:val="TableContents"/>
              <w:bidi w:val="0"/>
              <w:spacing w:lineRule="auto" w:line="302" w:before="0" w:after="0"/>
              <w:ind w:left="0" w:right="0" w:hanging="0"/>
              <w:jc w:val="left"/>
              <w:rPr/>
            </w:pPr>
            <w:r>
              <w:rPr/>
              <w:t>​</w:t>
            </w:r>
          </w:p>
        </w:tc>
        <w:tc>
          <w:tcPr>
            <w:tcW w:w="226" w:type="dxa"/>
            <w:tcBorders/>
            <w:vAlign w:val="center"/>
          </w:tcPr>
          <w:p>
            <w:pPr>
              <w:pStyle w:val="TableContents"/>
              <w:bidi w:val="0"/>
              <w:spacing w:lineRule="auto" w:line="302"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715"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782"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left"/>
              <w:rPr/>
            </w:pPr>
            <w:r>
              <w:rPr/>
              <w:t>​</w:t>
            </w:r>
          </w:p>
        </w:tc>
        <w:tc>
          <w:tcPr>
            <w:tcW w:w="827" w:type="dxa"/>
            <w:tcBorders/>
            <w:vAlign w:val="center"/>
          </w:tcPr>
          <w:p>
            <w:pPr>
              <w:pStyle w:val="TableContents"/>
              <w:bidi w:val="0"/>
              <w:spacing w:lineRule="auto" w:line="302"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715"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lineRule="auto" w:line="302" w:before="0" w:after="0"/>
              <w:ind w:left="0" w:right="0" w:hanging="0"/>
              <w:jc w:val="center"/>
              <w:rPr/>
            </w:pPr>
            <w:r>
              <w:rPr/>
              <w:t>​</w:t>
            </w:r>
          </w:p>
        </w:tc>
        <w:tc>
          <w:tcPr>
            <w:tcW w:w="782" w:type="dxa"/>
            <w:tcBorders/>
            <w:vAlign w:val="center"/>
          </w:tcPr>
          <w:p>
            <w:pPr>
              <w:pStyle w:val="TableContents"/>
              <w:bidi w:val="0"/>
              <w:spacing w:lineRule="auto" w:line="302"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Westrock Coffee Company</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Westrock Coffee Company</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No. 6, dated as of June 30, 2026, among Westrock Beverage Solutions, LLC, as the borrower, Westrock Coffee Company, as holdings, the other guarantors party thereto, the lenders and issuing banks party thereto and Wells Fargo Bank, N.A., as administrative agent and collateral agent</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10d2.htm">
              <w:r>
                <w:rPr>
                  <w:rStyle w:val="InternetLink"/>
                  <w:rFonts w:ascii="Times New Roman;Times;serif" w:hAnsi="Times New Roman;Times;serif"/>
                  <w:b w:val="false"/>
                  <w:i w:val="false"/>
                  <w:caps w:val="false"/>
                  <w:smallCaps w:val="false"/>
                  <w:sz w:val="20"/>
                </w:rPr>
                <w:t>Form of Restricted Stock Unit Award Agreement</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10d3.htm">
              <w:r>
                <w:rPr>
                  <w:rStyle w:val="InternetLink"/>
                  <w:rFonts w:ascii="Times New Roman;Times;serif" w:hAnsi="Times New Roman;Times;serif"/>
                  <w:b w:val="false"/>
                  <w:i w:val="false"/>
                  <w:caps w:val="false"/>
                  <w:smallCaps w:val="false"/>
                  <w:sz w:val="20"/>
                </w:rPr>
                <w:t>Form of Performance Restricted Stock Unit Award Agreement</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10d4.htm">
              <w:r>
                <w:rPr>
                  <w:rStyle w:val="InternetLink"/>
                  <w:rFonts w:ascii="Times New Roman;Times;serif" w:hAnsi="Times New Roman;Times;serif"/>
                  <w:b w:val="false"/>
                  <w:i w:val="false"/>
                  <w:caps w:val="false"/>
                  <w:smallCaps w:val="false"/>
                  <w:sz w:val="20"/>
                </w:rPr>
                <w:t>Employment Agreement, dated June 8, 2026, by and between Westrock Coffee Company and L. Keith Harvey</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10d5.htm">
              <w:r>
                <w:rPr>
                  <w:rStyle w:val="InternetLink"/>
                  <w:rFonts w:ascii="Times New Roman;Times;serif" w:hAnsi="Times New Roman;Times;serif"/>
                  <w:b w:val="false"/>
                  <w:i w:val="false"/>
                  <w:caps w:val="false"/>
                  <w:smallCaps w:val="false"/>
                  <w:sz w:val="20"/>
                </w:rPr>
                <w:t>Employment Agreement, dated August 5, 2026, by and between Westrock Coffee Company and Samuel Ford</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pBdr/>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31d1.htm">
              <w:r>
                <w:rPr>
                  <w:rStyle w:val="InternetLink"/>
                  <w:rFonts w:ascii="Times New Roman;Times;serif" w:hAnsi="Times New Roman;Times;serif"/>
                  <w:b w:val="false"/>
                  <w:i w:val="false"/>
                  <w:caps w:val="false"/>
                  <w:smallCaps w:val="false"/>
                  <w:sz w:val="20"/>
                </w:rPr>
                <w:t>Chief Executive Officer—Certification pursuant to Rule 13a-14(a) or Rule 15d-14(a) of the Securities Exchange Act of 1934, as adopted pursuant to Section 302 of the Sarbanes-Oxley Act of 2002.</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31d2.htm">
              <w:r>
                <w:rPr>
                  <w:rStyle w:val="InternetLink"/>
                  <w:rFonts w:ascii="Times New Roman;Times;serif" w:hAnsi="Times New Roman;Times;serif"/>
                  <w:b w:val="false"/>
                  <w:i w:val="false"/>
                  <w:caps w:val="false"/>
                  <w:smallCaps w:val="false"/>
                  <w:sz w:val="20"/>
                </w:rPr>
                <w:t>Chief Financial Officer—Certification pursuant to Rule 13a-14(a) or Rule 15d-14(a) of the Securities Exchange Act of 1934, as adopted pursuant to Section 302 of the Sarbanes-Oxley Act of 2002.</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0"/>
              <w:ind w:left="0" w:right="0" w:hanging="0"/>
              <w:jc w:val="left"/>
              <w:rPr/>
            </w:pPr>
            <w:hyperlink w:anchor="west-20260630xex32d1.htm">
              <w:r>
                <w:rPr>
                  <w:rStyle w:val="InternetLink"/>
                  <w:rFonts w:ascii="Times New Roman;Times;serif" w:hAnsi="Times New Roman;Times;serif"/>
                  <w:b w:val="false"/>
                  <w:i w:val="false"/>
                  <w:caps w:val="false"/>
                  <w:smallCaps w:val="false"/>
                  <w:sz w:val="20"/>
                </w:rPr>
                <w:t>Chief Executive Officer—Certification pursuant to Rule13a-14(b) or Rule 15d-14(b) of the Securities Exchange Act of 1934 and 18 U.S.C. Section 1350, as adopted pursuant to Section 906 of the Sarbanes-Oxley Act of 2002.</w:t>
              </w:r>
            </w:hyperlink>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26" w:type="dxa"/>
            <w:tcBorders/>
            <w:vAlign w:val="center"/>
          </w:tcPr>
          <w:p>
            <w:pPr>
              <w:pStyle w:val="TableContents"/>
              <w:bidi w:val="0"/>
              <w:spacing w:before="0" w:after="0"/>
              <w:ind w:left="0" w:right="0" w:hanging="0"/>
              <w:jc w:val="center"/>
              <w:rPr/>
            </w:pPr>
            <w:r>
              <w:rPr/>
              <w:t>​</w:t>
            </w:r>
          </w:p>
        </w:tc>
        <w:tc>
          <w:tcPr>
            <w:tcW w:w="4197" w:type="dxa"/>
            <w:tcBorders/>
            <w:vAlign w:val="center"/>
          </w:tcPr>
          <w:p>
            <w:pPr>
              <w:pStyle w:val="TableContents"/>
              <w:bidi w:val="0"/>
              <w:spacing w:before="0" w:after="0"/>
              <w:ind w:left="0" w:right="0" w:hanging="0"/>
              <w:jc w:val="left"/>
              <w:rPr/>
            </w:pPr>
            <w:hyperlink w:anchor="west-20260630xex32d2.htm">
              <w:r>
                <w:rPr>
                  <w:rStyle w:val="InternetLink"/>
                  <w:rFonts w:ascii="Times New Roman;Times;serif" w:hAnsi="Times New Roman;Times;serif"/>
                  <w:b w:val="false"/>
                  <w:i w:val="false"/>
                  <w:caps w:val="false"/>
                  <w:smallCaps w:val="false"/>
                  <w:sz w:val="20"/>
                </w:rPr>
                <w:t>Chief Financial Officer—Certification pursuant to Rule 13a-14(b) or Rule 15d-14(b) of the Securities Exchange Act of 1934 and 18 U.S.C. Section 1350, as adopted pursuant to Section 906 of the Sarbanes-Oxley Act of 2002.</w:t>
              </w:r>
            </w:hyperlink>
          </w:p>
        </w:tc>
        <w:tc>
          <w:tcPr>
            <w:tcW w:w="2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4197"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9"/>
        <w:gridCol w:w="109"/>
        <w:gridCol w:w="8117"/>
        <w:gridCol w:w="109"/>
        <w:gridCol w:w="109"/>
        <w:gridCol w:w="109"/>
        <w:gridCol w:w="109"/>
        <w:gridCol w:w="109"/>
        <w:gridCol w:w="109"/>
        <w:gridCol w:w="109"/>
        <w:gridCol w:w="109"/>
        <w:gridCol w:w="109"/>
        <w:gridCol w:w="309"/>
      </w:tblGrid>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8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right"/>
              <w:rPr/>
            </w:pPr>
            <w:r>
              <w:rPr/>
              <w:t>​</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Certain schedules have been omitted from this exhibit in accordance with Item 601(a)(5) of Regulation S-K. The Company agrees to furnish a copy of any omitted schedules to the Securities and Exchange Commission upon request.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623" w:name="Signatures_760028"/>
      <w:bookmarkStart w:id="1624" w:name="_b8c55685_492e_4c21_a257_b51f1aba58bd"/>
      <w:bookmarkEnd w:id="1623"/>
      <w:bookmarkEnd w:id="1624"/>
      <w:r>
        <w:rPr>
          <w:rFonts w:ascii="Times New Roman;Times;serif" w:hAnsi="Times New Roman;Times;serif"/>
          <w:sz w:val="20"/>
        </w:rPr>
        <w:t>Signatures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188" w:type="dxa"/>
        <w:jc w:val="left"/>
        <w:tblInd w:w="0" w:type="dxa"/>
        <w:tblLayout w:type="fixed"/>
        <w:tblCellMar>
          <w:top w:w="0" w:type="dxa"/>
          <w:left w:w="0" w:type="dxa"/>
          <w:bottom w:w="0" w:type="dxa"/>
          <w:right w:w="0" w:type="dxa"/>
        </w:tblCellMar>
      </w:tblPr>
      <w:tblGrid>
        <w:gridCol w:w="1846"/>
        <w:gridCol w:w="631"/>
        <w:gridCol w:w="4711"/>
      </w:tblGrid>
      <w:tr>
        <w:trPr/>
        <w:tc>
          <w:tcPr>
            <w:tcW w:w="1846" w:type="dxa"/>
            <w:tcBorders/>
            <w:vAlign w:val="center"/>
          </w:tcPr>
          <w:p>
            <w:pPr>
              <w:pStyle w:val="TableContents"/>
              <w:bidi w:val="0"/>
              <w:spacing w:lineRule="auto" w:line="328" w:before="0" w:after="0"/>
              <w:ind w:left="0" w:right="0" w:hanging="0"/>
              <w:jc w:val="left"/>
              <w:rPr/>
            </w:pPr>
            <w:r>
              <w:rPr/>
              <w:t>​</w:t>
            </w:r>
          </w:p>
        </w:tc>
        <w:tc>
          <w:tcPr>
            <w:tcW w:w="534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5342" w:type="dxa"/>
            <w:gridSpan w:val="2"/>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71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pPr>
            <w:r>
              <w:rPr/>
              <w:t>​</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71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Blake Schuhmacher</w:t>
            </w:r>
          </w:p>
        </w:tc>
      </w:tr>
      <w:tr>
        <w:trPr/>
        <w:tc>
          <w:tcPr>
            <w:tcW w:w="1846" w:type="dxa"/>
            <w:tcBorders/>
            <w:vAlign w:val="center"/>
          </w:tcPr>
          <w:p>
            <w:pPr>
              <w:pStyle w:val="TableContents"/>
              <w:bidi w:val="0"/>
              <w:spacing w:lineRule="auto" w:line="328" w:before="0" w:after="0"/>
              <w:ind w:left="0" w:right="0" w:hanging="0"/>
              <w:jc w:val="center"/>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Blake Schuhmacher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Chief Accounting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60</w:t>
      </w:r>
    </w:p>
    <w:p>
      <w:pPr>
        <w:pStyle w:val="TextBody"/>
        <w:bidi w:val="0"/>
        <w:spacing w:before="0" w:after="240"/>
        <w:ind w:left="0" w:right="0" w:hanging="0"/>
        <w:jc w:val="right"/>
        <w:rPr>
          <w:rFonts w:ascii="Times New Roman;Times;serif" w:hAnsi="Times New Roman;Times;serif"/>
          <w:sz w:val="20"/>
        </w:rPr>
      </w:pPr>
      <w:bookmarkStart w:id="1625" w:name="west-20260630xex10d2.htm"/>
      <w:bookmarkStart w:id="1626" w:name="kswest20260630xex10d2"/>
      <w:bookmarkEnd w:id="1625"/>
      <w:bookmarkEnd w:id="1626"/>
      <w:r>
        <w:rPr>
          <w:rFonts w:ascii="Times New Roman;Times;serif" w:hAnsi="Times New Roman;Times;serif"/>
          <w:b/>
          <w:sz w:val="20"/>
        </w:rPr>
        <w:t xml:space="preserve">Exhibit </w:t>
      </w:r>
      <w:r>
        <w:rPr>
          <w:rFonts w:ascii="Times New Roman;Times;serif" w:hAnsi="Times New Roman;Times;serif"/>
          <w:b/>
          <w:caps/>
          <w:sz w:val="20"/>
        </w:rPr>
        <w:t>10.2</w:t>
      </w:r>
      <w:r>
        <w:br w:type="page"/>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Westrock Coffee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RESTRICTED STOCK UNIT AWARD AGREEMENT (this “</w:t>
      </w:r>
      <w:r>
        <w:rPr>
          <w:rFonts w:ascii="Times New Roman;Times;serif" w:hAnsi="Times New Roman;Times;serif"/>
          <w:b/>
          <w:sz w:val="20"/>
        </w:rPr>
        <w:t>Agreement</w:t>
      </w:r>
      <w:r>
        <w:rPr>
          <w:rFonts w:ascii="Times New Roman;Times;serif" w:hAnsi="Times New Roman;Times;serif"/>
          <w:sz w:val="20"/>
        </w:rPr>
        <w:t>”) by and between Westrock Coffee Company, a Delaware corporation (the “</w:t>
      </w:r>
      <w:r>
        <w:rPr>
          <w:rFonts w:ascii="Times New Roman;Times;serif" w:hAnsi="Times New Roman;Times;serif"/>
          <w:b/>
          <w:sz w:val="20"/>
        </w:rPr>
        <w:t>Company</w:t>
      </w:r>
      <w:r>
        <w:rPr>
          <w:rFonts w:ascii="Times New Roman;Times;serif" w:hAnsi="Times New Roman;Times;serif"/>
          <w:sz w:val="20"/>
        </w:rPr>
        <w:t>”) and the individual named on the acceptance page hereto (“</w:t>
      </w:r>
      <w:r>
        <w:rPr>
          <w:rFonts w:ascii="Times New Roman;Times;serif" w:hAnsi="Times New Roman;Times;serif"/>
          <w:b/>
          <w:sz w:val="20"/>
        </w:rPr>
        <w:t>Participant</w:t>
      </w:r>
      <w:r>
        <w:rPr>
          <w:rFonts w:ascii="Times New Roman;Times;serif" w:hAnsi="Times New Roman;Times;serif"/>
          <w:sz w:val="20"/>
        </w:rPr>
        <w:t>”) is made as of the date set forth on such acceptance page hereto (the “</w:t>
      </w:r>
      <w:r>
        <w:rPr>
          <w:rFonts w:ascii="Times New Roman;Times;serif" w:hAnsi="Times New Roman;Times;serif"/>
          <w:b/>
          <w:sz w:val="20"/>
        </w:rPr>
        <w:t>Grant Date</w:t>
      </w:r>
      <w:r>
        <w:rPr>
          <w:rFonts w:ascii="Times New Roman;Times;serif" w:hAnsi="Times New Roman;Times;serif"/>
          <w:sz w:val="20"/>
        </w:rPr>
        <w:t>”), and with a vesting commencement date set forth on such acceptance page hereto (the “</w:t>
      </w:r>
      <w:r>
        <w:rPr>
          <w:rFonts w:ascii="Times New Roman;Times;serif" w:hAnsi="Times New Roman;Times;serif"/>
          <w:b/>
          <w:sz w:val="20"/>
        </w:rPr>
        <w:t>Vesting Commencement Date</w:t>
      </w:r>
      <w:r>
        <w:rPr>
          <w:rFonts w:ascii="Times New Roman;Times;serif" w:hAnsi="Times New Roman;Times;serif"/>
          <w:sz w:val="20"/>
        </w:rPr>
        <w:t>”). Reference is made herein to the Westrock Coffee Company 2022 Equity Incentive Plan, as amended, modified or supplemented from time to time (the “</w:t>
      </w:r>
      <w:r>
        <w:rPr>
          <w:rFonts w:ascii="Times New Roman;Times;serif" w:hAnsi="Times New Roman;Times;serif"/>
          <w:b/>
          <w:sz w:val="20"/>
        </w:rPr>
        <w:t>Plan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on the terms and subject to the conditions hereof, the Company desires to issue to Participant Restricted Stock Units (as defined in the Plan) in the amount set forth on the acceptance page hereto (the “</w:t>
      </w:r>
      <w:r>
        <w:rPr>
          <w:rFonts w:ascii="Times New Roman;Times;serif" w:hAnsi="Times New Roman;Times;serif"/>
          <w:b/>
          <w:sz w:val="20"/>
        </w:rPr>
        <w:t>Award</w:t>
      </w:r>
      <w:r>
        <w:rPr>
          <w:rFonts w:ascii="Times New Roman;Times;serif" w:hAnsi="Times New Roman;Times;serif"/>
          <w:sz w:val="20"/>
        </w:rPr>
        <w:t>”), as hereinafter set forth.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in order to implement the foregoing and in consideration of the mutual representations, warranties, covenants and agreements contained herein,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1.</w:t>
      </w:r>
      <w:r>
        <w:rPr>
          <w:rFonts w:ascii="Times New Roman;Times;serif" w:hAnsi="Times New Roman;Times;serif"/>
          <w:b/>
          <w:sz w:val="20"/>
        </w:rPr>
        <w:t>Definitions</w:t>
      </w:r>
      <w:r>
        <w:rPr>
          <w:rFonts w:ascii="Times New Roman;Times;serif" w:hAnsi="Times New Roman;Times;serif"/>
          <w:sz w:val="20"/>
        </w:rPr>
        <w:t>.  Capitalized terms not defined in this Agreement shall have the meanings ascribed to such terms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2.</w:t>
      </w:r>
      <w:r>
        <w:rPr>
          <w:rFonts w:ascii="Times New Roman;Times;serif" w:hAnsi="Times New Roman;Times;serif"/>
          <w:b/>
          <w:sz w:val="20"/>
        </w:rPr>
        <w:t>Incorporation of the Plan</w:t>
      </w:r>
      <w:r>
        <w:rPr>
          <w:rFonts w:ascii="Times New Roman;Times;serif" w:hAnsi="Times New Roman;Times;serif"/>
          <w:sz w:val="20"/>
        </w:rPr>
        <w:t>.  The Award is made pursuant to the Plan, all terms of which are hereby incorporated in this Agreement. In the event of any conflict between the terms of the Plan, on the one hand, and the terms of this Agreement or any other arrangement between you and the Company, on the other hand, the terms of the Plan shall govern. By accepting this Agreement, Participant hereby agrees to be bound by the terms of the Plan and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3.</w:t>
      </w:r>
      <w:r>
        <w:rPr>
          <w:rFonts w:ascii="Times New Roman;Times;serif" w:hAnsi="Times New Roman;Times;serif"/>
          <w:b/>
          <w:sz w:val="20"/>
        </w:rPr>
        <w:t>Grant and Vesting</w:t>
      </w:r>
      <w:r>
        <w:rPr>
          <w:rFonts w:ascii="Times New Roman;Times;serif" w:hAnsi="Times New Roman;Times;serif"/>
          <w:sz w:val="20"/>
        </w:rPr>
        <w:t>.  Participant is hereby granted the number of Restricted Stock Units set forth on the signature page hereto. The Restricted Stock Units shall become vested in three equal installments on each of the first three anniversaries of the Vesting Commencement Date (each such applicable date, a “</w:t>
      </w:r>
      <w:r>
        <w:rPr>
          <w:rFonts w:ascii="Times New Roman;Times;serif" w:hAnsi="Times New Roman;Times;serif"/>
          <w:b/>
          <w:sz w:val="20"/>
        </w:rPr>
        <w:t>Vesting Date</w:t>
      </w:r>
      <w:r>
        <w:rPr>
          <w:rFonts w:ascii="Times New Roman;Times;serif" w:hAnsi="Times New Roman;Times;serif"/>
          <w:sz w:val="20"/>
        </w:rPr>
        <w:t>”), subject to Participant’s continued service or employment, as applicable, through the applicable Vesting Date. Any unvested Restricted Stock Units that do not become vested on or prior to Participant’s termination of service or employment, as applicable, with the Company and its Affiliates shall be forfeited, and Participant shall have no further rights with respect thereto, effective as of the date of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4.</w:t>
      </w:r>
      <w:r>
        <w:rPr>
          <w:rFonts w:ascii="Times New Roman;Times;serif" w:hAnsi="Times New Roman;Times;serif"/>
          <w:b/>
          <w:sz w:val="20"/>
        </w:rPr>
        <w:t>Change in Control</w:t>
      </w:r>
      <w:r>
        <w:rPr>
          <w:rFonts w:ascii="Times New Roman;Times;serif" w:hAnsi="Times New Roman;Times;serif"/>
          <w:sz w:val="20"/>
        </w:rPr>
        <w:t>.  Any unvested Restricted Stock Units shall vest in full upon a Change in Control, subject to Participant’s continued service or employment, as applicable, through the occurrence of such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5.</w:t>
      </w:r>
      <w:r>
        <w:rPr>
          <w:rFonts w:ascii="Times New Roman;Times;serif" w:hAnsi="Times New Roman;Times;serif"/>
          <w:b/>
          <w:sz w:val="20"/>
        </w:rPr>
        <w:t>Issuance of Shares</w:t>
      </w:r>
      <w:r>
        <w:rPr>
          <w:rFonts w:ascii="Times New Roman;Times;serif" w:hAnsi="Times New Roman;Times;serif"/>
          <w:sz w:val="20"/>
        </w:rPr>
        <w:t>.  As soon as reasonably practicable following the date a Restricted Stock Unit granted hereby vests (but in no event later than two and one-half months after the end of the year in which such Restricted Stock Unit vests), the Company shall issue to Participant the number of Shares equal to the aggregate number of Restricted Stock Units that have vested pursuant to this Agreement on such date and Participant shall thereafter have all the rights of a stockholder of the Company with respect to such Shares.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6.</w:t>
      </w:r>
      <w:r>
        <w:rPr>
          <w:rFonts w:ascii="Times New Roman;Times;serif" w:hAnsi="Times New Roman;Times;serif"/>
          <w:b/>
          <w:sz w:val="20"/>
        </w:rPr>
        <w:t>Dividend Equivalents</w:t>
      </w:r>
      <w:r>
        <w:rPr>
          <w:rFonts w:ascii="Times New Roman;Times;serif" w:hAnsi="Times New Roman;Times;serif"/>
          <w:sz w:val="20"/>
        </w:rPr>
        <w:t>.  If the record date for the payment of cash dividends on Shares occurs between the Grant Date and the date a Restricted Stock Unit is settled for Shares or forfeited pursuant to this Agreement, the Company shall make a cash payment (a “</w:t>
      </w:r>
      <w:r>
        <w:rPr>
          <w:rFonts w:ascii="Times New Roman;Times;serif" w:hAnsi="Times New Roman;Times;serif"/>
          <w:b/>
          <w:sz w:val="20"/>
        </w:rPr>
        <w:t>Dividend Equivalent</w:t>
      </w:r>
      <w:r>
        <w:rPr>
          <w:rFonts w:ascii="Times New Roman;Times;serif" w:hAnsi="Times New Roman;Times;serif"/>
          <w:sz w:val="20"/>
        </w:rPr>
        <w:t>”) to Participant equal to the value of the cash dividend that Participant would have received on the Shares underlying the Restricted Stock Units that are outstanding and not settled as of such record date, which Dividend Equivalent shall be paid as soon as reasonably practicable following the date the corresponding cash dividend is paid to holders of Shares, subject to Participant’s continued service or employment, as applicable, with the Company and its Affiliates through the date such Dividend Equivalent is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w:t>
      </w:r>
      <w:r>
        <w:rPr>
          <w:rFonts w:ascii="Times New Roman;Times;serif" w:hAnsi="Times New Roman;Times;serif"/>
          <w:b/>
          <w:sz w:val="20"/>
        </w:rPr>
        <w:t>Notices</w:t>
      </w:r>
      <w:r>
        <w:rPr>
          <w:rFonts w:ascii="Times New Roman;Times;serif" w:hAnsi="Times New Roman;Times;serif"/>
          <w:sz w:val="20"/>
        </w:rPr>
        <w:t>.  Unless otherwise provided herein, all notices and other communications hereunder shall be in writing and 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Westrock Coffee Company</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4009 N. Rodney Parham Road, 4</w:t>
      </w:r>
      <w:r>
        <w:rPr>
          <w:rFonts w:ascii="Times New Roman;Times;serif" w:hAnsi="Times New Roman;Times;serif"/>
          <w:sz w:val="15"/>
        </w:rPr>
        <w:t xml:space="preserve">th </w:t>
      </w:r>
      <w:r>
        <w:rPr>
          <w:rFonts w:ascii="Times New Roman;Times;serif" w:hAnsi="Times New Roman;Times;serif"/>
          <w:sz w:val="20"/>
        </w:rPr>
        <w:t>Floor</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Little Rock, AR 72212</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0"/>
        </w:rPr>
        <w:t>Attn:  Chief Legal Officer</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If to Participant: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To the most recent address of Participant set forth in the personnel records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7.2</w:t>
      </w:r>
      <w:r>
        <w:rPr>
          <w:rFonts w:ascii="Times New Roman;Times;serif" w:hAnsi="Times New Roman;Times;serif"/>
          <w:b/>
          <w:sz w:val="20"/>
        </w:rPr>
        <w:t>Restriction on Transfer</w:t>
      </w:r>
      <w:r>
        <w:rPr>
          <w:rFonts w:ascii="Times New Roman;Times;serif" w:hAnsi="Times New Roman;Times;serif"/>
          <w:sz w:val="20"/>
        </w:rPr>
        <w:t>.  The Restricted Stock Units may not be transferred, pledged, assigned, hypothecated or otherwise disposed of in any way by Participant, except as permitted by the Committee or by will or the laws of descent and distribution, in each case in compliance with applicable laws. The Restricted Stock Units shall not be subject to execution, attachment or similar process. Any attempted assignment, transfer, pledge, hypothecation or other disposition of the Restricted Stock Units contrary to the provisions of this Agreement or the Plan shall be null and void and without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7.3</w:t>
      </w:r>
      <w:r>
        <w:rPr>
          <w:rFonts w:ascii="Times New Roman;Times;serif" w:hAnsi="Times New Roman;Times;serif"/>
          <w:b/>
          <w:sz w:val="20"/>
        </w:rPr>
        <w:t>Amendments and Waivers</w:t>
      </w:r>
      <w:r>
        <w:rPr>
          <w:rFonts w:ascii="Times New Roman;Times;serif" w:hAnsi="Times New Roman;Times;serif"/>
          <w:sz w:val="20"/>
        </w:rPr>
        <w:t xml:space="preserve">.  (a)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Times;serif" w:hAnsi="Times New Roman;Times;serif"/>
          <w:sz w:val="20"/>
          <w:u w:val="single"/>
        </w:rPr>
        <w:t>provided</w:t>
      </w:r>
      <w:r>
        <w:rPr>
          <w:rFonts w:ascii="Times New Roman;Times;serif" w:hAnsi="Times New Roman;Times;serif"/>
          <w:sz w:val="20"/>
        </w:rPr>
        <w:t xml:space="preserve"> that, the foregoing notwithstanding, this Agreement may be amended by the Company unilaterally, provided that no such unilateral amendment may materially adversely affect Participant, except to the extent provided for or contemplated in the terms of this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7.4</w:t>
      </w:r>
      <w:r>
        <w:rPr>
          <w:rFonts w:ascii="Times New Roman;Times;serif" w:hAnsi="Times New Roman;Times;serif"/>
          <w:b/>
          <w:sz w:val="20"/>
        </w:rPr>
        <w:t>Successors and Assigns</w:t>
      </w:r>
      <w:r>
        <w:rPr>
          <w:rFonts w:ascii="Times New Roman;Times;serif" w:hAnsi="Times New Roman;Times;serif"/>
          <w:sz w:val="20"/>
        </w:rPr>
        <w:t>.  The provisions of this Agreement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7.5</w:t>
      </w:r>
      <w:r>
        <w:rPr>
          <w:rFonts w:ascii="Times New Roman;Times;serif" w:hAnsi="Times New Roman;Times;serif"/>
          <w:b/>
          <w:sz w:val="20"/>
        </w:rPr>
        <w:t>Governing Law</w:t>
      </w:r>
      <w:r>
        <w:rPr>
          <w:rFonts w:ascii="Times New Roman;Times;serif" w:hAnsi="Times New Roman;Times;serif"/>
          <w:sz w:val="20"/>
        </w:rPr>
        <w:t>.  This Agreement, the legal relations between the parties and the adjudication and the enforcement 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7.6</w:t>
      </w:r>
      <w:r>
        <w:rPr>
          <w:rFonts w:ascii="Times New Roman;Times;serif" w:hAnsi="Times New Roman;Times;serif"/>
          <w:b/>
          <w:sz w:val="20"/>
        </w:rPr>
        <w:t>Jurisdiction</w:t>
      </w:r>
      <w:r>
        <w:rPr>
          <w:rFonts w:ascii="Times New Roman;Times;serif" w:hAnsi="Times New Roman;Times;serif"/>
          <w:sz w:val="20"/>
        </w:rPr>
        <w:t>.  Each party irrevocably submits to the jurisdiction of any state or federal court sitting in or for Little Rock, Arkansas for the purposes of any suit, action or other proceeding arising out of this Agreement or the transactions contemplated hereby. Each party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Section 7.6. Each party irrevocably and unconditionally waives any objection to the laying of venue of any action, suit or proceeding arising out of this Agreement or the transactions contemplated hereby in any state or federal court sitting in or for Little Rock, Arkansas, and hereby and thereby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7.7</w:t>
      </w:r>
      <w:r>
        <w:rPr>
          <w:rFonts w:ascii="Times New Roman;Times;serif" w:hAnsi="Times New Roman;Times;serif"/>
          <w:b/>
          <w:sz w:val="20"/>
        </w:rPr>
        <w:t>Waiver of Jury Trial</w:t>
      </w:r>
      <w:r>
        <w:rPr>
          <w:rFonts w:ascii="Times New Roman;Times;serif" w:hAnsi="Times New Roman;Times;serif"/>
          <w:sz w:val="20"/>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SUCH PARTY MAKES THIS WAIVER VOLUNTARILY, AND (D) EACH SUCH PARTY HAS BEEN INDUCED TO ENTER INTO THIS AGREEMENT BY, AMONG OTHER THINGS, THE MUTUAL WAIVERS AND CERTIFICATIONS IN THIS SECTION 7.7.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7.8</w:t>
      </w:r>
      <w:r>
        <w:rPr>
          <w:rFonts w:ascii="Times New Roman;Times;serif" w:hAnsi="Times New Roman;Times;serif"/>
          <w:b/>
          <w:sz w:val="20"/>
        </w:rPr>
        <w:t>Counterparts; Third Party Beneficiaries</w:t>
      </w:r>
      <w:r>
        <w:rPr>
          <w:rFonts w:ascii="Times New Roman;Times;serif" w:hAnsi="Times New Roman;Times;serif"/>
          <w:sz w:val="20"/>
        </w:rPr>
        <w:t>.  This Agreement may be signed in any number of counterparts, each of which shall be an original, with the same effect as if the signatures hereto were upon the same instrument. This Agreement shall become effective as to a particular Participant when such Participant shall have received a counterpart hereof signed by the Company or shall have acknowledged acceptance electronically. No provision of this Agreement shall confer upon any person other than the parties hereto any rights or remedies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7.9</w:t>
      </w:r>
      <w:r>
        <w:rPr>
          <w:rFonts w:ascii="Times New Roman;Times;serif" w:hAnsi="Times New Roman;Times;serif"/>
          <w:b/>
          <w:sz w:val="20"/>
        </w:rPr>
        <w:t>Entire Agreement</w:t>
      </w:r>
      <w:r>
        <w:rPr>
          <w:rFonts w:ascii="Times New Roman;Times;serif" w:hAnsi="Times New Roman;Times;serif"/>
          <w:sz w:val="20"/>
        </w:rPr>
        <w:t>.  This Agreement, together with (if applicable) any individual services, severance, employment or similar agreement between Participant and the Company or one of its Affiliates, constitutes the entire agreement between the parties with respect to the Award granted hereunder and supersedes all prior agreements and understandings, both oral and written, between the parties with respect to such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7.10</w:t>
      </w:r>
      <w:r>
        <w:rPr>
          <w:rFonts w:ascii="Times New Roman;Times;serif" w:hAnsi="Times New Roman;Times;serif"/>
          <w:b/>
          <w:sz w:val="20"/>
        </w:rPr>
        <w:t>Section Headings; Construction</w:t>
      </w:r>
      <w:r>
        <w:rPr>
          <w:rFonts w:ascii="Times New Roman;Times;serif" w:hAnsi="Times New Roman;Times;serif"/>
          <w:sz w:val="20"/>
        </w:rPr>
        <w:t>.  The section headings contained herein are for the purpose of convenience only and are not intended to define or limit the contents of the sections. All words used in this Agreement shall be construed to be of such gender or number, as the circumstances require. Unless otherwise expressly provided, the word “including” does not limit the preceding words or terms and the word “or” is not exclusive.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7.11</w:t>
      </w:r>
      <w:r>
        <w:rPr>
          <w:rFonts w:ascii="Times New Roman;Times;serif" w:hAnsi="Times New Roman;Times;serif"/>
          <w:b/>
          <w:sz w:val="20"/>
        </w:rPr>
        <w:t>Severability</w:t>
      </w:r>
      <w:r>
        <w:rPr>
          <w:rFonts w:ascii="Times New Roman;Times;serif" w:hAnsi="Times New Roman;Times;serif"/>
          <w:sz w:val="20"/>
        </w:rPr>
        <w:t>.  Except as otherwise provided herein, if one or more provisions of this Agreement are 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 Furthermore, a determination in any jurisdiction that this Agreement, in whole or in part, is invalid, illegal or unenforceable shall not in any way affect or impair the validity, legality or enforceability of this Agreement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7.12</w:t>
      </w:r>
      <w:r>
        <w:rPr>
          <w:rFonts w:ascii="Times New Roman;Times;serif" w:hAnsi="Times New Roman;Times;serif"/>
          <w:b/>
          <w:sz w:val="20"/>
        </w:rPr>
        <w:t>Interpretation</w:t>
      </w:r>
      <w:r>
        <w:rPr>
          <w:rFonts w:ascii="Times New Roman;Times;serif" w:hAnsi="Times New Roman;Times;serif"/>
          <w:sz w:val="20"/>
        </w:rPr>
        <w:t>.  The headings contained in this Agreement are for reference purposes only and shall not affect in any way the meaning or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7.13</w:t>
      </w:r>
      <w:r>
        <w:rPr>
          <w:rFonts w:ascii="Times New Roman;Times;serif" w:hAnsi="Times New Roman;Times;serif"/>
          <w:b/>
          <w:sz w:val="20"/>
        </w:rPr>
        <w:t>Participant’s Service or Employment with the Company</w:t>
      </w:r>
      <w:r>
        <w:rPr>
          <w:rFonts w:ascii="Times New Roman;Times;serif" w:hAnsi="Times New Roman;Times;serif"/>
          <w:sz w:val="20"/>
        </w:rPr>
        <w:t>.  Nothing contained in this Agreement shall be deemed (i) to obligate the Company or any of its Affiliates to continue the employment of Participant in any capacity whatsoever or to otherwise allow Participant to provide services to the Company or any of its Affiliates or (ii) to prohibit or restrict the Company or any of its Affiliates from terminating the services or employment, as applicable, of Participant at any time or for any reason whatsoever, with or without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7.14</w:t>
      </w:r>
      <w:r>
        <w:rPr>
          <w:rFonts w:ascii="Times New Roman;Times;serif" w:hAnsi="Times New Roman;Times;serif"/>
          <w:b/>
          <w:sz w:val="20"/>
        </w:rPr>
        <w:t>Withholding Taxes</w:t>
      </w:r>
      <w:r>
        <w:rPr>
          <w:rFonts w:ascii="Times New Roman;Times;serif" w:hAnsi="Times New Roman;Times;serif"/>
          <w:sz w:val="20"/>
        </w:rPr>
        <w:t>.  Participant acknowledges and agrees that the delivery of Shares or Dividend Equivalents pursuant to this Agreement is conditioned on satisfaction of any applicable withholding taxes in accordance with Section 12(d)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7.15</w:t>
      </w:r>
      <w:r>
        <w:rPr>
          <w:rFonts w:ascii="Times New Roman;Times;serif" w:hAnsi="Times New Roman;Times;serif"/>
          <w:b/>
          <w:sz w:val="20"/>
        </w:rPr>
        <w:t>Section 409A of the Code</w:t>
      </w:r>
      <w:r>
        <w:rPr>
          <w:rFonts w:ascii="Times New Roman;Times;serif" w:hAnsi="Times New Roman;Times;serif"/>
          <w:sz w:val="20"/>
        </w:rPr>
        <w:t>.  This Agreement is intended to comply with the requirements of Section 409A of the Code or an exemption or exclusion therefrom and, with respect to amounts that are subject to Section 409A of the Code, it is intended that this Agreement be administered in all respects in accordance with Section 409A of the Code. Each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under the Award shall be treated as a separate payment for purposes of Section 409A of the Code. In no event may Participant, directly or indirectly, designate the calendar year of any payment to be made under the Award to the extent that it constitutes nonqualified deferred compensation subject to Section 409A of the Code. Notwithstanding any other provision of this Agreement to the contrary, if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Participant’s Separation from Service during the six (6)-month period immediately following such Separation from Service shall instead be paid or provided on the first (1st) business day following the date that is six (6) months following Participant’s Separation from Service or any earlier date permitted by Section 409A of the Code. If Participant dies following the Separation from Service and prior to the payment of any amounts delayed on account of Section 409A of the Code, such amounts shall be paid to the personal representative of Participant’s estate within thirty (30) days following the date of Participant’s death.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7.16</w:t>
      </w:r>
      <w:r>
        <w:rPr>
          <w:rFonts w:ascii="Times New Roman;Times;serif" w:hAnsi="Times New Roman;Times;serif"/>
          <w:b/>
          <w:sz w:val="20"/>
        </w:rPr>
        <w:t>Further Assurances</w:t>
      </w:r>
      <w:r>
        <w:rPr>
          <w:rFonts w:ascii="Times New Roman;Times;serif" w:hAnsi="Times New Roman;Times;serif"/>
          <w:sz w:val="20"/>
        </w:rPr>
        <w:t>.  Participant agrees to execute all such certificates and other documents and instruments and shall do other acts as the Company reasonably deems appropriate to effectuate and perform the provisions of this Agreement and the transactions hereunder and to comply with the requirements of applicable law, including all agreements, certificates, tax statements and other documents as may be required to be filed in respect of the Company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7.17</w:t>
      </w:r>
      <w:r>
        <w:rPr>
          <w:rFonts w:ascii="Times New Roman;Times;serif" w:hAnsi="Times New Roman;Times;serif"/>
          <w:b/>
          <w:sz w:val="20"/>
        </w:rPr>
        <w:t>Rights as Stockholder</w:t>
      </w:r>
      <w:r>
        <w:rPr>
          <w:rFonts w:ascii="Times New Roman;Times;serif" w:hAnsi="Times New Roman;Times;serif"/>
          <w:sz w:val="20"/>
        </w:rPr>
        <w:t>.  Until the issuance of the Shares underlying a Restricted Stock Unit (as evidenced by the appropriate entry on the books of the Company or of a duly authorized transfer agent of the Company), no right to vote or receive dividends or any other rights as a holder of Shares shall exist with respect to such Restricted Stock Unit. No adjustment shall be made for a dividend or other right for which the record date is prior to the date the Shares are issued, except as provided in Section 6 or in the Plan.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    *    *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7" w:name="west-20260630xex10d3.htm"/>
      <w:bookmarkStart w:id="1628" w:name="kswest20260630xex10d3"/>
      <w:bookmarkEnd w:id="1627"/>
      <w:bookmarkEnd w:id="1628"/>
      <w:r>
        <w:rPr>
          <w:rFonts w:ascii="Times New Roman;Times;serif" w:hAnsi="Times New Roman;Times;serif"/>
          <w:b/>
          <w:sz w:val="20"/>
        </w:rPr>
        <w:t>Exhibit 10.3</w:t>
      </w:r>
      <w:r>
        <w:br w:type="page"/>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Westrock Coffee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RESTRICTED STOCK UNIT AWARD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PERFORMANCE RESTRICTED STOCK UNIT AWARD AGREEMENT (this “</w:t>
      </w:r>
      <w:r>
        <w:rPr>
          <w:rFonts w:ascii="Times New Roman;Times;serif" w:hAnsi="Times New Roman;Times;serif"/>
          <w:b/>
          <w:sz w:val="20"/>
        </w:rPr>
        <w:t>Agreement</w:t>
      </w:r>
      <w:r>
        <w:rPr>
          <w:rFonts w:ascii="Times New Roman;Times;serif" w:hAnsi="Times New Roman;Times;serif"/>
          <w:sz w:val="20"/>
        </w:rPr>
        <w:t>”) by and between Westrock Coffee Company, a Delaware corporation (the “</w:t>
      </w:r>
      <w:r>
        <w:rPr>
          <w:rFonts w:ascii="Times New Roman;Times;serif" w:hAnsi="Times New Roman;Times;serif"/>
          <w:b/>
          <w:sz w:val="20"/>
        </w:rPr>
        <w:t>Company</w:t>
      </w:r>
      <w:r>
        <w:rPr>
          <w:rFonts w:ascii="Times New Roman;Times;serif" w:hAnsi="Times New Roman;Times;serif"/>
          <w:sz w:val="20"/>
        </w:rPr>
        <w:t>”) and the individual named on the acceptance page hereto (“</w:t>
      </w:r>
      <w:r>
        <w:rPr>
          <w:rFonts w:ascii="Times New Roman;Times;serif" w:hAnsi="Times New Roman;Times;serif"/>
          <w:b/>
          <w:sz w:val="20"/>
        </w:rPr>
        <w:t>Participant</w:t>
      </w:r>
      <w:r>
        <w:rPr>
          <w:rFonts w:ascii="Times New Roman;Times;serif" w:hAnsi="Times New Roman;Times;serif"/>
          <w:sz w:val="20"/>
        </w:rPr>
        <w:t>”) is made as of the date set forth on such acceptance page hereto (the “</w:t>
      </w:r>
      <w:r>
        <w:rPr>
          <w:rFonts w:ascii="Times New Roman;Times;serif" w:hAnsi="Times New Roman;Times;serif"/>
          <w:b/>
          <w:sz w:val="20"/>
        </w:rPr>
        <w:t>Grant Date</w:t>
      </w:r>
      <w:r>
        <w:rPr>
          <w:rFonts w:ascii="Times New Roman;Times;serif" w:hAnsi="Times New Roman;Times;serif"/>
          <w:sz w:val="20"/>
        </w:rPr>
        <w:t>”). Reference is made herein to the Westrock Coffee Company 2022 Equity Incentive Plan, as amended, modified or supplemented from time to time (the “</w:t>
      </w:r>
      <w:r>
        <w:rPr>
          <w:rFonts w:ascii="Times New Roman;Times;serif" w:hAnsi="Times New Roman;Times;serif"/>
          <w:b/>
          <w:sz w:val="20"/>
        </w:rPr>
        <w:t>Plan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on the terms and subject to the conditions hereof, the Company desires to issue to Participant Restricted Stock Units (as defined in the Plan) in the amount set forth on the acceptance page hereto (the “</w:t>
      </w:r>
      <w:r>
        <w:rPr>
          <w:rFonts w:ascii="Times New Roman;Times;serif" w:hAnsi="Times New Roman;Times;serif"/>
          <w:b/>
          <w:sz w:val="20"/>
        </w:rPr>
        <w:t>Award</w:t>
      </w:r>
      <w:r>
        <w:rPr>
          <w:rFonts w:ascii="Times New Roman;Times;serif" w:hAnsi="Times New Roman;Times;serif"/>
          <w:sz w:val="20"/>
        </w:rPr>
        <w:t>”), as hereinafter set forth.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in order to implement the foregoing and in consideration of the mutual representations, warranties, covenants and agreements contained herein,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Definitions</w:t>
      </w:r>
      <w:r>
        <w:rPr>
          <w:rFonts w:ascii="Times New Roman;Times;serif" w:hAnsi="Times New Roman;Times;serif"/>
          <w:sz w:val="20"/>
        </w:rPr>
        <w:t>. Capitalized terms not defined in this Agreement shall have the meanings ascribed to such terms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Incorporation of the Plan</w:t>
      </w:r>
      <w:r>
        <w:rPr>
          <w:rFonts w:ascii="Times New Roman;Times;serif" w:hAnsi="Times New Roman;Times;serif"/>
          <w:sz w:val="20"/>
        </w:rPr>
        <w:t>. The Award is made pursuant to the Plan, all terms of which are hereby incorporated in this Agreement. In the event of any conflict between the terms of the Plan, on the one hand, and the terms of this Agreement or any other arrangement between you and the Company, on the other hand, the terms of the Plan shall govern. By accepting this Agreement, Participant hereby agrees to be bound by the terms of the Plan and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Grant and Vesting</w:t>
      </w:r>
      <w:r>
        <w:rPr>
          <w:rFonts w:ascii="Times New Roman;Times;serif" w:hAnsi="Times New Roman;Times;serif"/>
          <w:sz w:val="20"/>
        </w:rPr>
        <w:t xml:space="preserve">. Participant is hereby granted the number of Restricted Stock Units set forth on the signature page hereto. The Restricted Stock Units shall be eligible to vest on the Vesting Date (as defined in </w:t>
      </w:r>
      <w:r>
        <w:rPr>
          <w:rFonts w:ascii="Times New Roman;Times;serif" w:hAnsi="Times New Roman;Times;serif"/>
          <w:b/>
          <w:sz w:val="20"/>
        </w:rPr>
        <w:t>Exhibit A</w:t>
      </w:r>
      <w:r>
        <w:rPr>
          <w:rFonts w:ascii="Times New Roman;Times;serif" w:hAnsi="Times New Roman;Times;serif"/>
          <w:sz w:val="20"/>
        </w:rPr>
        <w:t xml:space="preserve">) based on the achievement of the conditions set forth on </w:t>
      </w:r>
      <w:r>
        <w:rPr>
          <w:rFonts w:ascii="Times New Roman;Times;serif" w:hAnsi="Times New Roman;Times;serif"/>
          <w:b/>
          <w:sz w:val="20"/>
        </w:rPr>
        <w:t>Exhibit A</w:t>
      </w:r>
      <w:r>
        <w:rPr>
          <w:rFonts w:ascii="Times New Roman;Times;serif" w:hAnsi="Times New Roman;Times;serif"/>
          <w:sz w:val="20"/>
        </w:rPr>
        <w:t xml:space="preserve"> and subject to Participant’s continued service or employment, as applicable, through the applicable Vesting Date. Any unvested Restricted Stock Units that do not become vested on or prior to Participant’s termination of service or employment, as applicable, with the Company and its Affiliates shall be forfeited, and Participant shall have no further rights with respect thereto, effective as of the date of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Change in Control</w:t>
      </w:r>
      <w:r>
        <w:rPr>
          <w:rFonts w:ascii="Times New Roman;Times;serif" w:hAnsi="Times New Roman;Times;serif"/>
          <w:sz w:val="20"/>
        </w:rPr>
        <w:t xml:space="preserve">. Any unvested Restricted Stock Units shall vest in full upon a Change in Control, with performance determined in accordance with </w:t>
      </w:r>
      <w:r>
        <w:rPr>
          <w:rFonts w:ascii="Times New Roman;Times;serif" w:hAnsi="Times New Roman;Times;serif"/>
          <w:b/>
          <w:sz w:val="20"/>
        </w:rPr>
        <w:t>Exhibit A</w:t>
      </w:r>
      <w:r>
        <w:rPr>
          <w:rFonts w:ascii="Times New Roman;Times;serif" w:hAnsi="Times New Roman;Times;serif"/>
          <w:sz w:val="20"/>
        </w:rPr>
        <w:t>, subject to Participant’s continued service or employment, as applicable, through the occurrence of such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Issuance of Shares</w:t>
      </w:r>
      <w:r>
        <w:rPr>
          <w:rFonts w:ascii="Times New Roman;Times;serif" w:hAnsi="Times New Roman;Times;serif"/>
          <w:sz w:val="20"/>
        </w:rPr>
        <w:t>. As soon as reasonably practicable following the date a Restricted Stock Unit granted hereby vests (but in no event later than two and one-half months after the end of the year in which such Restricted Stock Unit vests), the Company shall issue to Participant the number of Shares equal to the aggregate number of Restricted Stock Units that have vested pursuant to this Agreement on such date and Participant shall thereafter have all the rights of a stockholder of the Company with respect to such Shares.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Dividend Equivalents</w:t>
      </w:r>
      <w:r>
        <w:rPr>
          <w:rFonts w:ascii="Times New Roman;Times;serif" w:hAnsi="Times New Roman;Times;serif"/>
          <w:sz w:val="20"/>
        </w:rPr>
        <w:t>. If the record date for the payment of cash dividends on Shares occurs between the Grant Date and the date a Restricted Stock Unit is settled for Shares or forfeited pursuant to this Agreement, the Company shall accrue a cash payment (a “</w:t>
      </w:r>
      <w:r>
        <w:rPr>
          <w:rFonts w:ascii="Times New Roman;Times;serif" w:hAnsi="Times New Roman;Times;serif"/>
          <w:b/>
          <w:sz w:val="20"/>
        </w:rPr>
        <w:t>Dividend Equivalent</w:t>
      </w:r>
      <w:r>
        <w:rPr>
          <w:rFonts w:ascii="Times New Roman;Times;serif" w:hAnsi="Times New Roman;Times;serif"/>
          <w:sz w:val="20"/>
        </w:rPr>
        <w:t>”) to Participant equal to the value of the cash dividend that Participant would have received on the Shares underlying the Restricted Stock Units that are outstanding and not settled as of such record date, which Dividend Equivalent shall be paid as soon as reasonably practicable following the applicable Vesting Date, subject to Participant’s continued service or employment, as applicable, with the Company and its Affiliates through the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b/>
          <w:sz w:val="20"/>
        </w:rPr>
        <w:t>Notices</w:t>
      </w:r>
      <w:r>
        <w:rPr>
          <w:rFonts w:ascii="Times New Roman;Times;serif" w:hAnsi="Times New Roman;Times;serif"/>
          <w:sz w:val="20"/>
        </w:rPr>
        <w:t>. Unless otherwise provided herein, all notices and other communications hereunder shall be in writing and 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Westrock Coffee Company</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4009 N. Rodney Parham Road, 4</w:t>
      </w:r>
      <w:r>
        <w:rPr>
          <w:rFonts w:ascii="Times New Roman;Times;serif" w:hAnsi="Times New Roman;Times;serif"/>
          <w:sz w:val="15"/>
        </w:rPr>
        <w:t xml:space="preserve">th </w:t>
      </w:r>
      <w:r>
        <w:rPr>
          <w:rFonts w:ascii="Times New Roman;Times;serif" w:hAnsi="Times New Roman;Times;serif"/>
          <w:sz w:val="20"/>
        </w:rPr>
        <w:t>Floor</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0"/>
        </w:rPr>
        <w:t>Little Rock, AR 72212</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0"/>
        </w:rPr>
        <w:t>Attn: Chief Legal Officer</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If to Participant: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To the most recent address of Participant set forth in the personnel records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b/>
          <w:sz w:val="20"/>
        </w:rPr>
        <w:t>Restriction on Transfer</w:t>
      </w:r>
      <w:r>
        <w:rPr>
          <w:rFonts w:ascii="Times New Roman;Times;serif" w:hAnsi="Times New Roman;Times;serif"/>
          <w:sz w:val="20"/>
        </w:rPr>
        <w:t>. The Restricted Stock Units may not be transferred, pledged, assigned, hypothecated or otherwise disposed of in any way by Participant, except as permitted by the Committee or by will or the laws of descent and distribution, in each case in compliance with applicable laws. The Restricted Stock Units shall not be subject to execution, attachment or similar process. Any attempted assignment, transfer, pledge, hypothecation or other disposition of the Restricted Stock Units contrary to the provisions of this Agreement or the Plan shall be null and void and without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b/>
          <w:sz w:val="20"/>
        </w:rPr>
        <w:t>Amendments and Waivers</w:t>
      </w:r>
      <w:r>
        <w:rPr>
          <w:rFonts w:ascii="Times New Roman;Times;serif" w:hAnsi="Times New Roman;Times;serif"/>
          <w:sz w:val="20"/>
        </w:rPr>
        <w:t xml:space="preserve">. (a) 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Times New Roman;Times;serif" w:hAnsi="Times New Roman;Times;serif"/>
          <w:sz w:val="20"/>
          <w:u w:val="single"/>
        </w:rPr>
        <w:t>provided</w:t>
      </w:r>
      <w:r>
        <w:rPr>
          <w:rFonts w:ascii="Times New Roman;Times;serif" w:hAnsi="Times New Roman;Times;serif"/>
          <w:sz w:val="20"/>
        </w:rPr>
        <w:t xml:space="preserve"> that, the foregoing notwithstanding, this Agreement may be amended by the Company unilaterally, provided that no such unilateral amendment may materially adversely affect Participant, except to the extent provided for or contemplated in the terms of this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b/>
          <w:sz w:val="20"/>
        </w:rPr>
        <w:t>Successors and Assigns</w:t>
      </w:r>
      <w:r>
        <w:rPr>
          <w:rFonts w:ascii="Times New Roman;Times;serif" w:hAnsi="Times New Roman;Times;serif"/>
          <w:sz w:val="20"/>
        </w:rPr>
        <w:t>. The provisions of this Agreement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7.5</w:t>
      </w:r>
      <w:r>
        <w:rPr>
          <w:rFonts w:ascii="Times New Roman;Times;serif" w:hAnsi="Times New Roman;Times;serif"/>
          <w:b/>
          <w:sz w:val="20"/>
        </w:rPr>
        <w:t>Governing Law</w:t>
      </w:r>
      <w:r>
        <w:rPr>
          <w:rFonts w:ascii="Times New Roman;Times;serif" w:hAnsi="Times New Roman;Times;serif"/>
          <w:sz w:val="20"/>
        </w:rPr>
        <w:t>. This Agreement, the legal relations between the parties and the adjudication and the enforcement 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7.6</w:t>
      </w:r>
      <w:r>
        <w:rPr>
          <w:rFonts w:ascii="Times New Roman;Times;serif" w:hAnsi="Times New Roman;Times;serif"/>
          <w:b/>
          <w:sz w:val="20"/>
        </w:rPr>
        <w:t>Jurisdiction</w:t>
      </w:r>
      <w:r>
        <w:rPr>
          <w:rFonts w:ascii="Times New Roman;Times;serif" w:hAnsi="Times New Roman;Times;serif"/>
          <w:sz w:val="20"/>
        </w:rPr>
        <w:t>. Each party irrevocably submits to the jurisdiction of any state or federal court sitting in or for Little Rock, Arkansas for the purposes of any suit, action or other proceeding arising out of this Agreement or the transactions contemplated hereby. Each party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Section 7.6. Each party irrevocably and unconditionally waives any objection to the laying of venue of any action, suit or proceeding arising out of this Agreement or the transactions contemplated hereby in any state or federal court sitting in or for Little Rock, Arkansas, and hereby and thereby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7.7</w:t>
      </w:r>
      <w:r>
        <w:rPr>
          <w:rFonts w:ascii="Times New Roman;Times;serif" w:hAnsi="Times New Roman;Times;serif"/>
          <w:b/>
          <w:sz w:val="20"/>
        </w:rPr>
        <w:t>Waiver of Jury Trial</w:t>
      </w:r>
      <w:r>
        <w:rPr>
          <w:rFonts w:ascii="Times New Roman;Times;serif" w:hAnsi="Times New Roman;Times;serif"/>
          <w:sz w:val="20"/>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SUCH PARTY MAKES THIS WAIVER VOLUNTARILY, AND (D) EACH SUCH PARTY HAS BEEN INDUCED TO ENTER INTO THIS AGREEMENT BY, AMONG OTHER THINGS, THE MUTUAL WAIVERS AND CERTIFICATIONS IN THIS SECTION 7.7.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7.8</w:t>
      </w:r>
      <w:r>
        <w:rPr>
          <w:rFonts w:ascii="Times New Roman;Times;serif" w:hAnsi="Times New Roman;Times;serif"/>
          <w:b/>
          <w:sz w:val="20"/>
        </w:rPr>
        <w:t>Counterparts; Third Party Beneficiaries</w:t>
      </w:r>
      <w:r>
        <w:rPr>
          <w:rFonts w:ascii="Times New Roman;Times;serif" w:hAnsi="Times New Roman;Times;serif"/>
          <w:sz w:val="20"/>
        </w:rPr>
        <w:t>. This Agreement may be signed in any number of counterparts, each of which shall be an original, with the same effect as if the signatures hereto were upon the same instrument. This Agreement shall become effective as to a particular Participant when such Participant shall have received a counterpart hereof signed by the Company or shall have acknowledged acceptance electronically. No provision of this Agreement shall confer upon any person other than the parties hereto any rights or remedies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7.9</w:t>
      </w:r>
      <w:r>
        <w:rPr>
          <w:rFonts w:ascii="Times New Roman;Times;serif" w:hAnsi="Times New Roman;Times;serif"/>
          <w:b/>
          <w:sz w:val="20"/>
        </w:rPr>
        <w:t>Entire Agreement</w:t>
      </w:r>
      <w:r>
        <w:rPr>
          <w:rFonts w:ascii="Times New Roman;Times;serif" w:hAnsi="Times New Roman;Times;serif"/>
          <w:sz w:val="20"/>
        </w:rPr>
        <w:t>. This Agreement, together with (if applicable) any individual services, severance, employment or similar agreement between Participant and the Company or one of its Affiliates, constitutes the entire agreement between the parties with respect to the Award granted hereunder and supersedes all prior agreements and understandings, both oral and written, between the parties with respect to such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7.10</w:t>
      </w:r>
      <w:r>
        <w:rPr>
          <w:rFonts w:ascii="Times New Roman;Times;serif" w:hAnsi="Times New Roman;Times;serif"/>
          <w:b/>
          <w:sz w:val="20"/>
        </w:rPr>
        <w:t>Section Headings; Construction</w:t>
      </w:r>
      <w:r>
        <w:rPr>
          <w:rFonts w:ascii="Times New Roman;Times;serif" w:hAnsi="Times New Roman;Times;serif"/>
          <w:sz w:val="20"/>
        </w:rPr>
        <w:t>. The section headings contained herein are for the purpose of convenience only and are not intended to define or limit the contents of the sections. All words used in this Agreement shall be construed to be of such gender or number, as the circumstances require. Unless otherwise expressly provided, the word “including” does not limit the preceding words or terms and the word “or” is not exclusive.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7.11</w:t>
      </w:r>
      <w:r>
        <w:rPr>
          <w:rFonts w:ascii="Times New Roman;Times;serif" w:hAnsi="Times New Roman;Times;serif"/>
          <w:b/>
          <w:sz w:val="20"/>
        </w:rPr>
        <w:t>Severability</w:t>
      </w:r>
      <w:r>
        <w:rPr>
          <w:rFonts w:ascii="Times New Roman;Times;serif" w:hAnsi="Times New Roman;Times;serif"/>
          <w:sz w:val="20"/>
        </w:rPr>
        <w:t>. Except as otherwise provided herein, if one or more provisions of this Agreement are 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 Furthermore, a determination in any jurisdiction that this Agreement, in whole or in part, is invalid, illegal or unenforceable shall not in any way affect or impair the validity, legality or enforceability of this Agreement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7.12</w:t>
      </w:r>
      <w:r>
        <w:rPr>
          <w:rFonts w:ascii="Times New Roman;Times;serif" w:hAnsi="Times New Roman;Times;serif"/>
          <w:b/>
          <w:sz w:val="20"/>
        </w:rPr>
        <w:t>Interpretation</w:t>
      </w:r>
      <w:r>
        <w:rPr>
          <w:rFonts w:ascii="Times New Roman;Times;serif" w:hAnsi="Times New Roman;Times;serif"/>
          <w:sz w:val="20"/>
        </w:rPr>
        <w:t>. The headings contained in this Agreement are for reference purposes only and shall not affect in any way the meaning or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7.13</w:t>
      </w:r>
      <w:r>
        <w:rPr>
          <w:rFonts w:ascii="Times New Roman;Times;serif" w:hAnsi="Times New Roman;Times;serif"/>
          <w:b/>
          <w:sz w:val="20"/>
        </w:rPr>
        <w:t>Participant’s Service or Employment with the Company</w:t>
      </w:r>
      <w:r>
        <w:rPr>
          <w:rFonts w:ascii="Times New Roman;Times;serif" w:hAnsi="Times New Roman;Times;serif"/>
          <w:sz w:val="20"/>
        </w:rPr>
        <w:t>. Nothing contained in this Agreement shall be deemed (i) to obligate the Company or any of its Affiliates to continue the employment of Participant in any capacity whatsoever or to otherwise allow Participant to provide services to the Company or any of its Affiliates or (ii) to prohibit or restrict the Company or any of its Affiliates from terminating the services or employment, as applicable, of Participant at any time or for any reason whatsoever, with or without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7.14</w:t>
      </w:r>
      <w:r>
        <w:rPr>
          <w:rFonts w:ascii="Times New Roman;Times;serif" w:hAnsi="Times New Roman;Times;serif"/>
          <w:b/>
          <w:sz w:val="20"/>
        </w:rPr>
        <w:t>Withholding Taxes</w:t>
      </w:r>
      <w:r>
        <w:rPr>
          <w:rFonts w:ascii="Times New Roman;Times;serif" w:hAnsi="Times New Roman;Times;serif"/>
          <w:sz w:val="20"/>
        </w:rPr>
        <w:t>. Participant acknowledges and agrees that the delivery of Shares or Dividend Equivalents pursuant to this Agreement is conditioned on satisfaction of any applicable withholding taxes in accordance with Section 12(d)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7.15</w:t>
      </w:r>
      <w:r>
        <w:rPr>
          <w:rFonts w:ascii="Times New Roman;Times;serif" w:hAnsi="Times New Roman;Times;serif"/>
          <w:b/>
          <w:sz w:val="20"/>
        </w:rPr>
        <w:t>Section 409A of the Code</w:t>
      </w:r>
      <w:r>
        <w:rPr>
          <w:rFonts w:ascii="Times New Roman;Times;serif" w:hAnsi="Times New Roman;Times;serif"/>
          <w:sz w:val="20"/>
        </w:rPr>
        <w:t>. This Agreement is intended to comply with the requirements of Section 409A of the Code or an exemption or exclusion therefrom and, with respect to amounts that are subject to Section 409A of the Code, it is intended that this Agreement be administered in all respects in accordance with Section 409A of the Code. Each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under the Award shall be treated as a separate payment for purposes of Section 409A of the Code. In no event may Participant, directly or indirectly, designate the calendar year of any payment to be made under the Award to the extent that it constitutes nonqualified deferred compensation subject to Section 409A of the Code. Notwithstanding any other provision of this Agreement to the contrary, if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Participant’s Separation from Service during the six (6)-month period immediately following such Separation from Service shall instead be paid or provided on the first (1st) business day following the date that is six (6) months following Participant’s Separation from Service or any earlier date permitted by Section 409A of the Code. If Participant dies following the Separation from Service and prior to the payment of any amounts delayed on account of Section 409A of the Code, such amounts shall be paid to the personal representative of Participant’s estate within thirty (30) days following the date of Participant’s death.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7.16</w:t>
      </w:r>
      <w:r>
        <w:rPr>
          <w:rFonts w:ascii="Times New Roman;Times;serif" w:hAnsi="Times New Roman;Times;serif"/>
          <w:b/>
          <w:sz w:val="20"/>
        </w:rPr>
        <w:t>Further Assurances</w:t>
      </w:r>
      <w:r>
        <w:rPr>
          <w:rFonts w:ascii="Times New Roman;Times;serif" w:hAnsi="Times New Roman;Times;serif"/>
          <w:sz w:val="20"/>
        </w:rPr>
        <w:t>. Participant agrees to execute all such certificates and other documents and instruments and shall do other acts as the Company reasonably deems appropriate to effectuate and perform the provisions of this Agreement and the transactions hereunder and to comply with the requirements of applicable law, including all agreements, certificates, tax statements and other documents as may be required to be filed in respect of the Company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7.17</w:t>
      </w:r>
      <w:r>
        <w:rPr>
          <w:rFonts w:ascii="Times New Roman;Times;serif" w:hAnsi="Times New Roman;Times;serif"/>
          <w:b/>
          <w:sz w:val="20"/>
        </w:rPr>
        <w:t>Rights as Stockholder</w:t>
      </w:r>
      <w:r>
        <w:rPr>
          <w:rFonts w:ascii="Times New Roman;Times;serif" w:hAnsi="Times New Roman;Times;serif"/>
          <w:sz w:val="20"/>
        </w:rPr>
        <w:t>. Until the issuance of the Shares underlying a Restricted Stock Unit (as evidenced by the appropriate entry on the books of the Company or of a duly authorized transfer agent of the Company), no right to vote or receive dividends or any other rights as a holder of Shares shall exist with respect to such Restricted Stock Unit. No adjustment shall be made for a dividend or other right for which the record date is prior to the date the Shares are issued, except as provided in Section 6 or in the Plan.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GOALS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PERFORMANCE RESTRICTED STOCK UNIT AWARD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29" w:name="west-20260630xex10d4.htm"/>
      <w:bookmarkStart w:id="1630" w:name="kswest20260630xex10d4"/>
      <w:bookmarkEnd w:id="1629"/>
      <w:bookmarkEnd w:id="1630"/>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THIS EMPLOYMENT AGREEMENT </w:t>
      </w:r>
      <w:r>
        <w:rPr>
          <w:rFonts w:ascii="Times New Roman;Times;serif" w:hAnsi="Times New Roman;Times;serif"/>
          <w:sz w:val="20"/>
        </w:rPr>
        <w:t>(this “</w:t>
      </w:r>
      <w:r>
        <w:rPr>
          <w:rFonts w:ascii="Times New Roman;Times;serif" w:hAnsi="Times New Roman;Times;serif"/>
          <w:b/>
          <w:sz w:val="20"/>
        </w:rPr>
        <w:t>Agreement</w:t>
      </w:r>
      <w:r>
        <w:rPr>
          <w:rFonts w:ascii="Times New Roman;Times;serif" w:hAnsi="Times New Roman;Times;serif"/>
          <w:sz w:val="20"/>
        </w:rPr>
        <w:t>”) is made and entered into, as of June 8, 2026 (the “</w:t>
      </w:r>
      <w:r>
        <w:rPr>
          <w:rFonts w:ascii="Times New Roman;Times;serif" w:hAnsi="Times New Roman;Times;serif"/>
          <w:b/>
          <w:sz w:val="20"/>
        </w:rPr>
        <w:t>Effective Date</w:t>
      </w:r>
      <w:r>
        <w:rPr>
          <w:rFonts w:ascii="Times New Roman;Times;serif" w:hAnsi="Times New Roman;Times;serif"/>
          <w:sz w:val="20"/>
        </w:rPr>
        <w:t>”), by and between Westrock Coffee Company (the “</w:t>
      </w:r>
      <w:r>
        <w:rPr>
          <w:rFonts w:ascii="Times New Roman;Times;serif" w:hAnsi="Times New Roman;Times;serif"/>
          <w:b/>
          <w:sz w:val="20"/>
        </w:rPr>
        <w:t>Company</w:t>
      </w:r>
      <w:r>
        <w:rPr>
          <w:rFonts w:ascii="Times New Roman;Times;serif" w:hAnsi="Times New Roman;Times;serif"/>
          <w:sz w:val="20"/>
        </w:rPr>
        <w:t>”) and L. Keith Harvey (“</w:t>
      </w:r>
      <w:r>
        <w:rPr>
          <w:rFonts w:ascii="Times New Roman;Times;serif" w:hAnsi="Times New Roman;Times;serif"/>
          <w:b/>
          <w:sz w:val="20"/>
        </w:rPr>
        <w:t>Executive</w:t>
      </w:r>
      <w:r>
        <w:rPr>
          <w:rFonts w:ascii="Times New Roman;Times;serif" w:hAnsi="Times New Roman;Times;serif"/>
          <w:sz w:val="20"/>
        </w:rPr>
        <w:t>”, and together with the Company,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w:t>
      </w:r>
      <w:r>
        <w:rPr>
          <w:rFonts w:ascii="Times New Roman;Times;serif" w:hAnsi="Times New Roman;Times;serif"/>
          <w:sz w:val="20"/>
        </w:rPr>
        <w:t xml:space="preserve">, </w:t>
      </w:r>
      <w:r>
        <w:rPr>
          <w:rFonts w:ascii="Times New Roman;Times;serif" w:hAnsi="Times New Roman;Times;serif"/>
          <w:b/>
          <w:sz w:val="20"/>
        </w:rPr>
        <w:t>THEREFORE</w:t>
      </w:r>
      <w:r>
        <w:rPr>
          <w:rFonts w:ascii="Times New Roman;Times;serif" w:hAnsi="Times New Roman;Times;serif"/>
          <w:sz w:val="20"/>
        </w:rPr>
        <w:t>, in consideration of the foregoing, the mutual promises contained herein and other good and valuable consideration, the receipt and sufficiency of which are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Employment Period</w:t>
      </w:r>
      <w:r>
        <w:rPr>
          <w:rFonts w:ascii="Times New Roman;Times;serif" w:hAnsi="Times New Roman;Times;serif"/>
          <w:sz w:val="20"/>
        </w:rPr>
        <w:t>. The Company agrees to employ Executive, and Executive agrees to serve the Company and its Affiliates (as defined below), subject to the terms and conditions of this Agreement, for the period commencing on the Effective Date and ending on the third anniversary of the Effective Date (the “</w:t>
      </w:r>
      <w:r>
        <w:rPr>
          <w:rFonts w:ascii="Times New Roman;Times;serif" w:hAnsi="Times New Roman;Times;serif"/>
          <w:b/>
          <w:sz w:val="20"/>
        </w:rPr>
        <w:t>Employment Period</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commencing on the first anniversary of the Effective Date, and on each annual anniversary thereafter (such date and each annual anniversary thereof shall be hereinafter referred to as the “</w:t>
      </w:r>
      <w:r>
        <w:rPr>
          <w:rFonts w:ascii="Times New Roman;Times;serif" w:hAnsi="Times New Roman;Times;serif"/>
          <w:b/>
          <w:sz w:val="20"/>
        </w:rPr>
        <w:t>Renewal Date</w:t>
      </w:r>
      <w:r>
        <w:rPr>
          <w:rFonts w:ascii="Times New Roman;Times;serif" w:hAnsi="Times New Roman;Times;serif"/>
          <w:sz w:val="20"/>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Times;serif" w:hAnsi="Times New Roman;Times;serif"/>
          <w:b/>
          <w:sz w:val="20"/>
        </w:rPr>
        <w:t>Notice of Non-Renewal</w:t>
      </w:r>
      <w:r>
        <w:rPr>
          <w:rFonts w:ascii="Times New Roman;Times;serif" w:hAnsi="Times New Roman;Times;serif"/>
          <w:sz w:val="20"/>
        </w:rPr>
        <w:t>”). For purposes of this Agreement, the term “</w:t>
      </w:r>
      <w:r>
        <w:rPr>
          <w:rFonts w:ascii="Times New Roman;Times;serif" w:hAnsi="Times New Roman;Times;serif"/>
          <w:b/>
          <w:sz w:val="20"/>
        </w:rPr>
        <w:t>Affiliate</w:t>
      </w:r>
      <w:r>
        <w:rPr>
          <w:rFonts w:ascii="Times New Roman;Times;serif" w:hAnsi="Times New Roman;Times;serif"/>
          <w:sz w:val="20"/>
        </w:rPr>
        <w:t>” means an entity controlled by, controlling or under common control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Position and Duties; Location; Standard of Services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Position and Duties</w:t>
      </w:r>
      <w:r>
        <w:rPr>
          <w:rFonts w:ascii="Times New Roman;Times;serif" w:hAnsi="Times New Roman;Times;serif"/>
          <w:sz w:val="20"/>
        </w:rPr>
        <w:t>. During the Employment Period, Executive shall serve as Senior Vice President - Chief Legal Officer and Corporate Secretary of the Company and shall perform customary and appropriate duties as may be reasonably assigned to Executive from time to time by the Board of Directors of the Company (the “</w:t>
      </w:r>
      <w:r>
        <w:rPr>
          <w:rFonts w:ascii="Times New Roman;Times;serif" w:hAnsi="Times New Roman;Times;serif"/>
          <w:b/>
          <w:sz w:val="20"/>
        </w:rPr>
        <w:t>Board</w:t>
      </w:r>
      <w:r>
        <w:rPr>
          <w:rFonts w:ascii="Times New Roman;Times;serif" w:hAnsi="Times New Roman;Times;serif"/>
          <w:sz w:val="20"/>
        </w:rPr>
        <w:t>”), the Chief Executive Officer of the Company, and the Chief Financial Officer of the Company. Executive shall have such responsibilities, power and authority as those normally associated with such position in public companies of a similar stature.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Location</w:t>
      </w:r>
      <w:r>
        <w:rPr>
          <w:rFonts w:ascii="Times New Roman;Times;serif" w:hAnsi="Times New Roman;Times;serif"/>
          <w:sz w:val="20"/>
        </w:rPr>
        <w:t>. During the Employment Period, Executive’s principal place of employment shall be the Company’s headquarters in Little Rock, Arkansas, subject to reasonable business travel at the Company’s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Standard of Services</w:t>
      </w:r>
      <w:r>
        <w:rPr>
          <w:rFonts w:ascii="Times New Roman;Times;serif" w:hAnsi="Times New Roman;Times;serif"/>
          <w:sz w:val="20"/>
        </w:rPr>
        <w:t>. During the Employment Period, Executive agrees to devote 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 with the Company in the future, in each case, so long as such activities do not materially inter-fere with the performance of Executive’s responsibilities in accordance with this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 and Employee Benefits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Annual Base Salary</w:t>
      </w:r>
      <w:r>
        <w:rPr>
          <w:rFonts w:ascii="Times New Roman;Times;serif" w:hAnsi="Times New Roman;Times;serif"/>
          <w:sz w:val="20"/>
        </w:rPr>
        <w:t>. During the Employment Period, Executive shall receive an annual base salary (the “</w:t>
      </w:r>
      <w:r>
        <w:rPr>
          <w:rFonts w:ascii="Times New Roman;Times;serif" w:hAnsi="Times New Roman;Times;serif"/>
          <w:b/>
          <w:sz w:val="20"/>
        </w:rPr>
        <w:t>Annual Base Salary</w:t>
      </w:r>
      <w:r>
        <w:rPr>
          <w:rFonts w:ascii="Times New Roman;Times;serif" w:hAnsi="Times New Roman;Times;serif"/>
          <w:sz w:val="20"/>
        </w:rPr>
        <w:t>”) of no less than $400,000, payable in accordance with the Company’s regular payroll practices. The Annual Base Salary shall be reviewed at least annually by the Board or an appropriate committee thereof (the Board or such committee, the “</w:t>
      </w:r>
      <w:r>
        <w:rPr>
          <w:rFonts w:ascii="Times New Roman;Times;serif" w:hAnsi="Times New Roman;Times;serif"/>
          <w:b/>
          <w:sz w:val="20"/>
        </w:rPr>
        <w:t>Committee</w:t>
      </w:r>
      <w:r>
        <w:rPr>
          <w:rFonts w:ascii="Times New Roman;Times;serif" w:hAnsi="Times New Roman;Times;serif"/>
          <w:sz w:val="20"/>
        </w:rPr>
        <w:t>”) for possible increase, as determined in the discretion of the Committee. The term “Annual Base Salary” as used in this Agreement shall refer to the Annual Base Salary as it may be so adjusted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During the Employment Period, Executive shall have the opportunity to earn, for each fiscal year of the Company, an annual bonus (the “</w:t>
      </w:r>
      <w:r>
        <w:rPr>
          <w:rFonts w:ascii="Times New Roman;Times;serif" w:hAnsi="Times New Roman;Times;serif"/>
          <w:b/>
          <w:sz w:val="20"/>
        </w:rPr>
        <w:t>Annual Bonus</w:t>
      </w:r>
      <w:r>
        <w:rPr>
          <w:rFonts w:ascii="Times New Roman;Times;serif" w:hAnsi="Times New Roman;Times;serif"/>
          <w:sz w:val="20"/>
        </w:rPr>
        <w:t>”) pursuant to the terms of an annual incentive plan for senior executives of the Company, as in effect from time to time. Executive’s target Annual Bonus opportunity shall be 85% of the Annual Base Salary.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Equity Incentives</w:t>
      </w:r>
      <w:r>
        <w:rPr>
          <w:rFonts w:ascii="Times New Roman;Times;serif" w:hAnsi="Times New Roman;Times;serif"/>
          <w:sz w:val="20"/>
        </w:rPr>
        <w:t>. Executive shall be eligible to participate in the Company’s equity incentive plan, as in effect from time to time. At or around the time Executive’s employment with the Company begins, the Company will grant to Executive $340,000 in restricted stock under the Company’s equity incentive plan, the terms of which shall be consistent with the terms for grants to other executives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Other Employee Benefit Plans</w:t>
      </w:r>
      <w:r>
        <w:rPr>
          <w:rFonts w:ascii="Times New Roman;Times;serif" w:hAnsi="Times New Roman;Times;serif"/>
          <w:sz w:val="20"/>
        </w:rPr>
        <w:t>. During the Employment Period, Executive shall be 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Business Expenses</w:t>
      </w:r>
      <w:r>
        <w:rPr>
          <w:rFonts w:ascii="Times New Roman;Times;serif" w:hAnsi="Times New Roman;Times;serif"/>
          <w:sz w:val="20"/>
        </w:rPr>
        <w:t>. Executive shall be entitled to receive prompt reimbursement for all business expenses (including travel, entertainment, professional dues and subscriptions) incurred by Executive, in accordance with the Company’s policies as in effect from time to time.</w:t>
      </w:r>
    </w:p>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24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Termination of Employment</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Death or Disability</w:t>
      </w:r>
      <w:r>
        <w:rPr>
          <w:rFonts w:ascii="Times New Roman;Times;serif" w:hAnsi="Times New Roman;Times;serif"/>
          <w:sz w:val="20"/>
        </w:rPr>
        <w:t>. Executive’s employment shall terminate automatically upon Executive’s death during the Employment Period. If the Company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Times;serif" w:hAnsi="Times New Roman;Times;serif"/>
          <w:sz w:val="15"/>
        </w:rPr>
        <w:t>th</w:t>
      </w:r>
      <w:r>
        <w:rPr>
          <w:rFonts w:ascii="Times New Roman;Times;serif" w:hAnsi="Times New Roman;Times;serif"/>
          <w:sz w:val="20"/>
        </w:rPr>
        <w:t xml:space="preserve"> day after Executive’s receipt of such notice (the “</w:t>
      </w:r>
      <w:r>
        <w:rPr>
          <w:rFonts w:ascii="Times New Roman;Times;serif" w:hAnsi="Times New Roman;Times;serif"/>
          <w:b/>
          <w:sz w:val="20"/>
        </w:rPr>
        <w:t>Disability Effective Date</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within the 30 days after such receipt, Executive shall not have returned to full-time performance of Executive’s duties. For purposes of this Agreement, “</w:t>
      </w:r>
      <w:r>
        <w:rPr>
          <w:rFonts w:ascii="Times New Roman;Times;serif" w:hAnsi="Times New Roman;Times;serif"/>
          <w:b/>
          <w:sz w:val="20"/>
        </w:rPr>
        <w:t>Disability</w:t>
      </w:r>
      <w:r>
        <w:rPr>
          <w:rFonts w:ascii="Times New Roman;Times;serif" w:hAnsi="Times New Roman;Times;serif"/>
          <w:sz w:val="20"/>
        </w:rPr>
        <w:t>” shall mean the absence of Executive from Executive’s duties with the Company on a full-time basis for 120 consecutive days, or for 180 days (which need not be consecutive) within a 365-day period, as a result of incapacity due to mental or physical illness.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With or Without Cause</w:t>
      </w:r>
      <w:r>
        <w:rPr>
          <w:rFonts w:ascii="Times New Roman;Times;serif" w:hAnsi="Times New Roman;Times;serif"/>
          <w:sz w:val="20"/>
        </w:rPr>
        <w:t>. The Company may terminate Executive’s employment during the Employment Period either with or without Cause. For purposes of this Agreement, “</w:t>
      </w:r>
      <w:r>
        <w:rPr>
          <w:rFonts w:ascii="Times New Roman;Times;serif" w:hAnsi="Times New Roman;Times;serif"/>
          <w:b/>
          <w:sz w:val="20"/>
        </w:rPr>
        <w:t>Cause</w:t>
      </w:r>
      <w:r>
        <w:rPr>
          <w:rFonts w:ascii="Times New Roman;Times;serif" w:hAnsi="Times New Roman;Times;serif"/>
          <w:sz w:val="20"/>
        </w:rPr>
        <w:t>” shall mean: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(i)Executive’s willful failure to substantially perform Executive’s duties;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(ii)any act of fraud, misappropriation, dishonesty, malfeasance or embezzlement by Executive in connection with the performance of Executive’s duties to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(iii)Executive’s material violation of any policies of the Company or any restrictive covenants applicable to Executive;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(iv)Executive’s conviction of, or entering a plea of </w:t>
      </w:r>
      <w:r>
        <w:rPr>
          <w:rFonts w:ascii="Times New Roman;Times;serif" w:hAnsi="Times New Roman;Times;serif"/>
          <w:i/>
          <w:sz w:val="20"/>
        </w:rPr>
        <w:t xml:space="preserve">nolo contendere </w:t>
      </w:r>
      <w:r>
        <w:rPr>
          <w:rFonts w:ascii="Times New Roman;Times;serif" w:hAnsi="Times New Roman;Times;serif"/>
          <w:sz w:val="20"/>
        </w:rPr>
        <w:t>to, a felony.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With or Without Good Reason</w:t>
      </w:r>
      <w:r>
        <w:rPr>
          <w:rFonts w:ascii="Times New Roman;Times;serif" w:hAnsi="Times New Roman;Times;serif"/>
          <w:sz w:val="20"/>
        </w:rPr>
        <w:t>. Executive’s employment may be terminated by Executive either with or without Good Reason. For purposes of this Agreement, “</w:t>
      </w:r>
      <w:r>
        <w:rPr>
          <w:rFonts w:ascii="Times New Roman;Times;serif" w:hAnsi="Times New Roman;Times;serif"/>
          <w:b/>
          <w:sz w:val="20"/>
        </w:rPr>
        <w:t>Good Reason</w:t>
      </w:r>
      <w:r>
        <w:rPr>
          <w:rFonts w:ascii="Times New Roman;Times;serif" w:hAnsi="Times New Roman;Times;serif"/>
          <w:sz w:val="20"/>
        </w:rPr>
        <w:t>” shall mean Executive’s voluntary resignation after any of the following actions are taken by the Company or any of its Affiliates without Executive’s written consent: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(i)A material diminution in Executive’s title, authority, duties or responsibilities;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 material reduction in the Annual Base Salary or target Annual Bonus opportunity;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(iii)A relocation of Executive’s primary place of employment by more than 25 miles from Executive’s primary place of employment as set forth in this Agreement;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(iv)The Company’s violation of the terms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Times;serif" w:hAnsi="Times New Roman;Times;serif"/>
          <w:b/>
          <w:sz w:val="20"/>
        </w:rPr>
        <w:t>Cure Period</w:t>
      </w:r>
      <w:r>
        <w:rPr>
          <w:rFonts w:ascii="Times New Roman;Times;serif" w:hAnsi="Times New Roman;Times;serif"/>
          <w:sz w:val="20"/>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occurrence of an event described above shall not affect Executive’s ability to terminate employment for Good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Retirement</w:t>
      </w:r>
      <w:r>
        <w:rPr>
          <w:rFonts w:ascii="Times New Roman;Times;serif" w:hAnsi="Times New Roman;Times;serif"/>
          <w:sz w:val="20"/>
        </w:rPr>
        <w:t>. Executive’s employment may be terminated by Executive due to Retirement. For purposes of this Agreement, “</w:t>
      </w:r>
      <w:r>
        <w:rPr>
          <w:rFonts w:ascii="Times New Roman;Times;serif" w:hAnsi="Times New Roman;Times;serif"/>
          <w:b/>
          <w:sz w:val="20"/>
        </w:rPr>
        <w:t>Retirement</w:t>
      </w:r>
      <w:r>
        <w:rPr>
          <w:rFonts w:ascii="Times New Roman;Times;serif" w:hAnsi="Times New Roman;Times;serif"/>
          <w:sz w:val="20"/>
        </w:rPr>
        <w:t xml:space="preserve">” shall mean Executive’s voluntary resignation at a time when the sum of Executive’s age and years of service equal at least 70, </w:t>
      </w:r>
      <w:r>
        <w:rPr>
          <w:rFonts w:ascii="Times New Roman;Times;serif" w:hAnsi="Times New Roman;Times;serif"/>
          <w:sz w:val="20"/>
          <w:u w:val="single"/>
        </w:rPr>
        <w:t>provided</w:t>
      </w:r>
      <w:r>
        <w:rPr>
          <w:rFonts w:ascii="Times New Roman;Times;serif" w:hAnsi="Times New Roman;Times;serif"/>
          <w:sz w:val="20"/>
        </w:rPr>
        <w:t xml:space="preserve"> that Executive has attained at least age 55 with at least 10 years of service with the Company or any predecessor or successor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Notice of Termination</w:t>
      </w:r>
      <w:r>
        <w:rPr>
          <w:rFonts w:ascii="Times New Roman;Times;serif" w:hAnsi="Times New Roman;Times;serif"/>
          <w:sz w:val="20"/>
        </w:rPr>
        <w:t>. Any termination of Executive’s employment by the Company with or without Cause, or by Executive with or without Good Reason or due to Retirement, shall be communicated by Notice of Termination to the other party hereto given in accordance with Section 11(b). For purposes of this Agreement, a “</w:t>
      </w:r>
      <w:r>
        <w:rPr>
          <w:rFonts w:ascii="Times New Roman;Times;serif" w:hAnsi="Times New Roman;Times;serif"/>
          <w:b/>
          <w:sz w:val="20"/>
        </w:rPr>
        <w:t>Notice of Termination</w:t>
      </w:r>
      <w:r>
        <w:rPr>
          <w:rFonts w:ascii="Times New Roman;Times;serif" w:hAnsi="Times New Roman;Times;serif"/>
          <w:sz w:val="20"/>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Date of Termination</w:t>
      </w:r>
      <w:r>
        <w:rPr>
          <w:rFonts w:ascii="Times New Roman;Times;serif" w:hAnsi="Times New Roman;Times;serif"/>
          <w:sz w:val="20"/>
        </w:rPr>
        <w:t>. “</w:t>
      </w:r>
      <w:r>
        <w:rPr>
          <w:rFonts w:ascii="Times New Roman;Times;serif" w:hAnsi="Times New Roman;Times;serif"/>
          <w:b/>
          <w:sz w:val="20"/>
        </w:rPr>
        <w:t>Date of Termination</w:t>
      </w:r>
      <w:r>
        <w:rPr>
          <w:rFonts w:ascii="Times New Roman;Times;serif" w:hAnsi="Times New Roman;Times;serif"/>
          <w:sz w:val="20"/>
        </w:rPr>
        <w:t xml:space="preserve">” means (i) if Executive’s employment is terminated by the Company with Cause or without Cause, or by Executive with Good Reason, the date of receipt of the Notice of Termination or any later date specified therein, (ii) if </w:t>
      </w:r>
      <w:bookmarkStart w:id="1631" w:name="_Hlk236362833"/>
      <w:bookmarkEnd w:id="1631"/>
      <w:r>
        <w:rPr>
          <w:rFonts w:ascii="Times New Roman;Times;serif" w:hAnsi="Times New Roman;Times;serif"/>
          <w:sz w:val="20"/>
        </w:rPr>
        <w:t>Executive’s employment is terminated by Executive without Good Reason (including due to Retirement), the 30</w:t>
      </w:r>
      <w:r>
        <w:rPr>
          <w:rFonts w:ascii="Times New Roman;Times;serif" w:hAnsi="Times New Roman;Times;serif"/>
          <w:sz w:val="15"/>
        </w:rPr>
        <w:t xml:space="preserve">th </w:t>
      </w:r>
      <w:r>
        <w:rPr>
          <w:rFonts w:ascii="Times New Roman;Times;serif" w:hAnsi="Times New Roman;Times;serif"/>
          <w:sz w:val="20"/>
        </w:rPr>
        <w:t>day following receipt of the Notice of Termination or any later date specified therein or (iii) if Executive’s employment is terminated by reason of death or Disability, the Date of Termination shall be the date of death of Executive or the Disability Effective Date, as the case may be.</w:t>
      </w:r>
    </w:p>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40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Obligations of the Company upon Termination</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Good Reason; Other Than for Cause, Death or Disability</w:t>
      </w:r>
      <w:r>
        <w:rPr>
          <w:rFonts w:ascii="Times New Roman;Times;serif" w:hAnsi="Times New Roman;Times;serif"/>
          <w:sz w:val="20"/>
        </w:rPr>
        <w:t xml:space="preserve">. If, during the Employment 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Times New Roman;Times;serif" w:hAnsi="Times New Roman;Times;serif"/>
          <w:b/>
          <w:sz w:val="20"/>
        </w:rPr>
        <w:t>Exhibit A</w:t>
      </w:r>
      <w:r>
        <w:rPr>
          <w:rFonts w:ascii="Times New Roman;Times;serif" w:hAnsi="Times New Roman;Times;serif"/>
          <w:sz w:val="20"/>
        </w:rPr>
        <w:t xml:space="preserve"> (the “</w:t>
      </w:r>
      <w:r>
        <w:rPr>
          <w:rFonts w:ascii="Times New Roman;Times;serif" w:hAnsi="Times New Roman;Times;serif"/>
          <w:b/>
          <w:sz w:val="20"/>
        </w:rPr>
        <w:t>Release</w:t>
      </w:r>
      <w:r>
        <w:rPr>
          <w:rFonts w:ascii="Times New Roman;Times;serif" w:hAnsi="Times New Roman;Times;serif"/>
          <w:sz w:val="20"/>
        </w:rPr>
        <w:t>”), the Company and its Affiliates shall pay to Executive the following: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(i)the sum of (A) the portion of the Annual Base Salary due for the period through the Date of Termination to the extent not theretofore paid, (B) any accrued but 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Times;serif" w:hAnsi="Times New Roman;Times;serif"/>
          <w:b/>
          <w:sz w:val="20"/>
        </w:rPr>
        <w:t>Accrued Obligations</w:t>
      </w:r>
      <w:r>
        <w:rPr>
          <w:rFonts w:ascii="Times New Roman;Times;serif" w:hAnsi="Times New Roman;Times;serif"/>
          <w:sz w:val="20"/>
        </w:rPr>
        <w:t>”), which Accrued Obligations shall be paid in a lump sum in cash within 60 days following the Date of Termination;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(ii)any unpaid Annual Bonus earned by Executive in respect of the fiscal year of the Company that was completed on or prior to the Date of Termination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82" w:right="0" w:hanging="0"/>
        <w:jc w:val="left"/>
        <w:rPr/>
      </w:pPr>
      <w:r>
        <w:rPr/>
        <w:t>“</w:t>
      </w:r>
      <w:r>
        <w:rPr>
          <w:rFonts w:ascii="Times New Roman;Times;serif" w:hAnsi="Times New Roman;Times;serif"/>
          <w:b/>
          <w:sz w:val="20"/>
        </w:rPr>
        <w:t>Unpaid Annual Bonus</w:t>
      </w:r>
      <w:r>
        <w:rPr>
          <w:rFonts w:ascii="Times New Roman;Times;serif" w:hAnsi="Times New Roman;Times;serif"/>
          <w:sz w:val="20"/>
        </w:rPr>
        <w:t>”), which Unpaid Annual Bonus shall be paid in a lump sum in cash no later than March 15 following the year in which it was earned;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Times;serif" w:hAnsi="Times New Roman;Times;serif"/>
          <w:b/>
          <w:sz w:val="20"/>
        </w:rPr>
        <w:t>Prorated Annual Bonus</w:t>
      </w:r>
      <w:r>
        <w:rPr>
          <w:rFonts w:ascii="Times New Roman;Times;serif" w:hAnsi="Times New Roman;Times;serif"/>
          <w:sz w:val="20"/>
        </w:rPr>
        <w:t xml:space="preserve">”), which Prorated Annual Bonus shall be paid in a lump sum in cash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(iv)an amount equal to the product of (A) the Severance Multiple (as defined below) </w:t>
      </w:r>
      <w:r>
        <w:rPr>
          <w:rFonts w:ascii="Times New Roman;Times;serif" w:hAnsi="Times New Roman;Times;serif"/>
          <w:i/>
          <w:sz w:val="20"/>
        </w:rPr>
        <w:t xml:space="preserve">multiplied by </w:t>
      </w:r>
      <w:r>
        <w:rPr>
          <w:rFonts w:ascii="Times New Roman;Times;serif" w:hAnsi="Times New Roman;Times;serif"/>
          <w:sz w:val="20"/>
        </w:rPr>
        <w:t xml:space="preserve">(B) the sum of (x) the Annual Base Salary and (y) the target Annual Bonus opportunity as in effect for the fiscal year of the Company in which the Date of Termination occurs, which amount shall be paid in a lump sum in cash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(v)a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Times;serif" w:hAnsi="Times New Roman;Times;serif"/>
          <w:b/>
          <w:sz w:val="20"/>
        </w:rPr>
        <w:t>Other Benefits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Agreement, “</w:t>
      </w:r>
      <w:r>
        <w:rPr>
          <w:rFonts w:ascii="Times New Roman;Times;serif" w:hAnsi="Times New Roman;Times;serif"/>
          <w:b/>
          <w:sz w:val="20"/>
        </w:rPr>
        <w:t>Severance Multiple</w:t>
      </w:r>
      <w:r>
        <w:rPr>
          <w:rFonts w:ascii="Times New Roman;Times;serif" w:hAnsi="Times New Roman;Times;serif"/>
          <w:sz w:val="20"/>
        </w:rPr>
        <w:t>” shall mean one, unless a termination contemplated by this Section 5(a) occurs within one year following a Change in Control (as defined in the Westrock Coffee Company 2022 Equity Incentive Plan, as in effect on the Effective Date), in which case it shall mean two.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Death; Disability; Retirement</w:t>
      </w:r>
      <w:r>
        <w:rPr>
          <w:rFonts w:ascii="Times New Roman;Times;serif" w:hAnsi="Times New Roman;Times;serif"/>
          <w:sz w:val="20"/>
        </w:rPr>
        <w:t>. If Executive’s employment is terminated by reason of 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Other Termination</w:t>
      </w:r>
      <w:r>
        <w:rPr>
          <w:rFonts w:ascii="Times New Roman;Times;serif" w:hAnsi="Times New Roman;Times;serif"/>
          <w:sz w:val="20"/>
        </w:rPr>
        <w:t>. If Executive’s employment is terminated during the Employment 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Full Settlement</w:t>
      </w:r>
      <w:r>
        <w:rPr>
          <w:rFonts w:ascii="Times New Roman;Times;serif" w:hAnsi="Times New Roman;Times;serif"/>
          <w:sz w:val="20"/>
        </w:rPr>
        <w:t>. The payments and benefits provided under this Section 5 shall be in full satisfaction of the obligations of the Company and its Affiliates to Executive under this Agreement and any other plan, agreement, policy or arrangement of the Company and its Affiliates upon Executive’s termination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No Mitigation</w:t>
      </w:r>
      <w:r>
        <w:rPr>
          <w:rFonts w:ascii="Times New Roman;Times;serif" w:hAnsi="Times New Roman;Times;serif"/>
          <w:sz w:val="20"/>
        </w:rPr>
        <w:t>. In no event shall Executive be obligated to seek other employment or take any other action by way of mitigation of any amounts payable to Executive under Section 5 and such amounts shall not be reduced whether or not Executive obtains other employment.</w:t>
      </w:r>
    </w:p>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9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Restrictive Covenants</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Confidential Information</w:t>
      </w:r>
      <w:r>
        <w:rPr>
          <w:rFonts w:ascii="Times New Roman;Times;serif" w:hAnsi="Times New Roman;Times;serif"/>
          <w:sz w:val="20"/>
        </w:rPr>
        <w:t>. Executive shall hold in a fiduciary capacity for the benefit of 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Times;serif" w:hAnsi="Times New Roman;Times;serif"/>
          <w:b/>
          <w:sz w:val="20"/>
        </w:rPr>
        <w:t>Confidential Information</w:t>
      </w:r>
      <w:r>
        <w:rPr>
          <w:rFonts w:ascii="Times New Roman;Times;serif" w:hAnsi="Times New Roman;Times;serif"/>
          <w:sz w:val="20"/>
        </w:rPr>
        <w:t>”). After termination of Executive’s employment with the Company, Executive shall not, without the prior 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Confidential Information or breach of this Agreement; and (iv) information that is otherwise required to be disclosed under applicable laws, regulations or judicial or regulatory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Inventions and Patents</w:t>
      </w:r>
      <w:r>
        <w:rPr>
          <w:rFonts w:ascii="Times New Roman;Times;serif" w:hAnsi="Times New Roman;Times;serif"/>
          <w:sz w:val="20"/>
        </w:rPr>
        <w:t>. Executive agrees that all inventions, innovations, improvements, 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Times;serif" w:hAnsi="Times New Roman;Times;serif"/>
          <w:b/>
          <w:sz w:val="20"/>
        </w:rPr>
        <w:t>Work Product</w:t>
      </w:r>
      <w:r>
        <w:rPr>
          <w:rFonts w:ascii="Times New Roman;Times;serif" w:hAnsi="Times New Roman;Times;serif"/>
          <w:sz w:val="20"/>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Nonsolicitation</w:t>
      </w:r>
      <w:r>
        <w:rPr>
          <w:rFonts w:ascii="Times New Roman;Times;serif" w:hAnsi="Times New Roman;Times;serif"/>
          <w:sz w:val="20"/>
        </w:rPr>
        <w:t>. During the period commencing on the Effective Date and ending on the first anniversary of the Date of Termination (the “</w:t>
      </w:r>
      <w:r>
        <w:rPr>
          <w:rFonts w:ascii="Times New Roman;Times;serif" w:hAnsi="Times New Roman;Times;serif"/>
          <w:b/>
          <w:sz w:val="20"/>
        </w:rPr>
        <w:t>Restricted Period</w:t>
      </w:r>
      <w:r>
        <w:rPr>
          <w:rFonts w:ascii="Times New Roman;Times;serif" w:hAnsi="Times New Roman;Times;serif"/>
          <w:sz w:val="20"/>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Noncompetition</w:t>
      </w:r>
      <w:r>
        <w:rPr>
          <w:rFonts w:ascii="Times New Roman;Times;serif" w:hAnsi="Times New Roman;Times;serif"/>
          <w:sz w:val="20"/>
        </w:rPr>
        <w:t>. Executive acknowledges that, in the course of Executive’s employment with the Company, Executive has become familiar, or shall become familiar, with the Company’s and its Affiliates’ trade secrets and with other Confidential Information concerning the Company, its Affiliates and their respective predecessors, and that 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such date, to be engaged in on or after such date and in which Executive has been involved to any extent (other than </w:t>
      </w:r>
      <w:r>
        <w:rPr>
          <w:rFonts w:ascii="Times New Roman;Times;serif" w:hAnsi="Times New Roman;Times;serif"/>
          <w:i/>
          <w:sz w:val="20"/>
        </w:rPr>
        <w:t xml:space="preserve">de minimis </w:t>
      </w:r>
      <w:r>
        <w:rPr>
          <w:rFonts w:ascii="Times New Roman;Times;serif" w:hAnsi="Times New Roman;Times;serif"/>
          <w:sz w:val="20"/>
        </w:rPr>
        <w:t>activities) at any time during the one-year period ending with the Date of Termination, in any locale of 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Nondisparagement</w:t>
      </w:r>
      <w:r>
        <w:rPr>
          <w:rFonts w:ascii="Times New Roman;Times;serif" w:hAnsi="Times New Roman;Times;serif"/>
          <w:sz w:val="20"/>
        </w:rPr>
        <w:t xml:space="preserve">. From and following the Effective Date: (i) Executive shall not make, 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Return of Property</w:t>
      </w:r>
      <w:r>
        <w:rPr>
          <w:rFonts w:ascii="Times New Roman;Times;serif" w:hAnsi="Times New Roman;Times;serif"/>
          <w:sz w:val="20"/>
        </w:rPr>
        <w:t>. Executive acknowledges that all documents, records, files, lists, 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Trade Secrets; Whistleblower Rights</w:t>
      </w:r>
      <w:r>
        <w:rPr>
          <w:rFonts w:ascii="Times New Roman;Times;serif" w:hAnsi="Times New Roman;Times;serif"/>
          <w:sz w:val="20"/>
        </w:rPr>
        <w:t>. The Company hereby informs Executive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03" w:type="dxa"/>
        <w:jc w:val="left"/>
        <w:tblInd w:w="0" w:type="dxa"/>
        <w:tblLayout w:type="fixed"/>
        <w:tblCellMar>
          <w:top w:w="0" w:type="dxa"/>
          <w:left w:w="0" w:type="dxa"/>
          <w:bottom w:w="0" w:type="dxa"/>
          <w:right w:w="0" w:type="dxa"/>
        </w:tblCellMar>
      </w:tblPr>
      <w:tblGrid>
        <w:gridCol w:w="23"/>
        <w:gridCol w:w="245"/>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w:t>
            </w:r>
          </w:p>
        </w:tc>
        <w:tc>
          <w:tcPr>
            <w:tcW w:w="27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Executive Covenants Generally</w:t>
            </w:r>
            <w:r>
              <w:rPr>
                <w:rFonts w:ascii="Times New Roman;Times;serif" w:hAnsi="Times New Roman;Times;serif"/>
                <w:sz w:val="20"/>
              </w:rPr>
              <w:t>.</w:t>
            </w:r>
          </w:p>
        </w:tc>
      </w:tr>
    </w:tbl>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(i)Executive’s covenants as set forth in this Section 7 are from time to time referred to herein as the “</w:t>
      </w:r>
      <w:r>
        <w:rPr>
          <w:rFonts w:ascii="Times New Roman;Times;serif" w:hAnsi="Times New Roman;Times;serif"/>
          <w:b/>
          <w:sz w:val="20"/>
        </w:rPr>
        <w:t>Executive Covenants</w:t>
      </w:r>
      <w:r>
        <w:rPr>
          <w:rFonts w:ascii="Times New Roman;Times;serif" w:hAnsi="Times New Roman;Times;serif"/>
          <w:sz w:val="20"/>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(iv)Any termination of (A) Executive’s employment, (B) the Employment Period or (C) this Agreement shall have no effect on the continuing operation of this Section 7.</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 deemed automatically extended by) any period during which Executive is in violation of the provisions of Section 7(c) or (d), as applicable.</w:t>
      </w:r>
    </w:p>
    <w:tbl>
      <w:tblPr>
        <w:tblW w:w="2928" w:type="dxa"/>
        <w:jc w:val="left"/>
        <w:tblInd w:w="0" w:type="dxa"/>
        <w:tblLayout w:type="fixed"/>
        <w:tblCellMar>
          <w:top w:w="0" w:type="dxa"/>
          <w:left w:w="0" w:type="dxa"/>
          <w:bottom w:w="0" w:type="dxa"/>
          <w:right w:w="0" w:type="dxa"/>
        </w:tblCellMar>
      </w:tblPr>
      <w:tblGrid>
        <w:gridCol w:w="23"/>
        <w:gridCol w:w="170"/>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27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Treatment of Certain Payments</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event that any payments or benefits under this Agreement or otherwise, either alone or together with other payments or benefits that Executive receives or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entitled to receive from the Company or any of its Affiliates (“</w:t>
      </w:r>
      <w:r>
        <w:rPr>
          <w:rFonts w:ascii="Times New Roman;Times;serif" w:hAnsi="Times New Roman;Times;serif"/>
          <w:b/>
          <w:sz w:val="20"/>
        </w:rPr>
        <w:t>Payments</w:t>
      </w:r>
      <w:r>
        <w:rPr>
          <w:rFonts w:ascii="Times New Roman;Times;serif" w:hAnsi="Times New Roman;Times;serif"/>
          <w:sz w:val="20"/>
        </w:rPr>
        <w:t>”) would subject Executive to the excise tax under Section 4999 of the Code, the Accounting Firm (as defined below) shall determine whether to reduce any of the Payments paid or payable pursuant to this Agreement (the “</w:t>
      </w:r>
      <w:r>
        <w:rPr>
          <w:rFonts w:ascii="Times New Roman;Times;serif" w:hAnsi="Times New Roman;Times;serif"/>
          <w:b/>
          <w:sz w:val="20"/>
        </w:rPr>
        <w:t>Agreement Payments</w:t>
      </w:r>
      <w:r>
        <w:rPr>
          <w:rFonts w:ascii="Times New Roman;Times;serif" w:hAnsi="Times New Roman;Times;serif"/>
          <w:sz w:val="20"/>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Times;serif" w:hAnsi="Times New Roman;Times;serif"/>
          <w:b/>
          <w:sz w:val="20"/>
        </w:rPr>
        <w:t>24(c)</w:t>
      </w:r>
      <w:r>
        <w:rPr>
          <w:rFonts w:ascii="Times New Roman;Times;serif" w:hAnsi="Times New Roman;Times;serif"/>
          <w:sz w:val="20"/>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Times New Roman;Times;serif" w:hAnsi="Times New Roman;Times;serif"/>
          <w:b/>
          <w:sz w:val="20"/>
        </w:rPr>
        <w:t>Overpayment</w:t>
      </w:r>
      <w:r>
        <w:rPr>
          <w:rFonts w:ascii="Times New Roman;Times;serif" w:hAnsi="Times New Roman;Times;serif"/>
          <w:sz w:val="20"/>
        </w:rPr>
        <w:t>”) or that additional amounts that shall have not been paid or distributed by the Company to or for the benefit of Executive pursuant to this Agreement could have been so paid or distributed (each, an “</w:t>
      </w:r>
      <w:r>
        <w:rPr>
          <w:rFonts w:ascii="Times New Roman;Times;serif" w:hAnsi="Times New Roman;Times;serif"/>
          <w:b/>
          <w:sz w:val="20"/>
        </w:rPr>
        <w:t>Underpayment</w:t>
      </w:r>
      <w:r>
        <w:rPr>
          <w:rFonts w:ascii="Times New Roman;Times;serif" w:hAnsi="Times New Roman;Times;serif"/>
          <w:sz w:val="20"/>
        </w:rPr>
        <w:t xml:space="preserve">”), in each case, consistent with the calculation of the Reduced Amount hereunder. In the event that the Accounting Firm, based upon the assertion of a 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repayment shall be required if and to the extent such deemed repayment would not either reduce the amount on which Executive is subject to tax under Section 1 and Section 4999 of the Code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tbl>
      <w:tblPr>
        <w:tblW w:w="7203" w:type="dxa"/>
        <w:jc w:val="left"/>
        <w:tblInd w:w="0" w:type="dxa"/>
        <w:tblLayout w:type="fixed"/>
        <w:tblCellMar>
          <w:top w:w="0" w:type="dxa"/>
          <w:left w:w="0" w:type="dxa"/>
          <w:bottom w:w="0" w:type="dxa"/>
          <w:right w:w="0" w:type="dxa"/>
        </w:tblCellMar>
      </w:tblPr>
      <w:tblGrid>
        <w:gridCol w:w="23"/>
        <w:gridCol w:w="230"/>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6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terms shall have the following meanings for purposes of this Section 8:</w:t>
            </w:r>
          </w:p>
        </w:tc>
      </w:tr>
    </w:tbl>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Accounting Firm</w:t>
      </w:r>
      <w:r>
        <w:rPr>
          <w:rFonts w:ascii="Times New Roman;Times;serif" w:hAnsi="Times New Roman;Times;serif"/>
          <w:sz w:val="20"/>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Net After-Tax Receipt</w:t>
      </w:r>
      <w:r>
        <w:rPr>
          <w:rFonts w:ascii="Times New Roman;Times;serif" w:hAnsi="Times New Roman;Times;serif"/>
          <w:sz w:val="20"/>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Parachute Value</w:t>
      </w:r>
      <w:r>
        <w:rPr>
          <w:rFonts w:ascii="Times New Roman;Times;serif" w:hAnsi="Times New Roman;Times;serif"/>
          <w:sz w:val="20"/>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shall apply to such Payment.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b/>
          <w:sz w:val="20"/>
        </w:rPr>
        <w:t>Safe Harbor Amount</w:t>
      </w:r>
      <w:r>
        <w:rPr>
          <w:rFonts w:ascii="Times New Roman;Times;serif" w:hAnsi="Times New Roman;Times;serif"/>
          <w:sz w:val="20"/>
        </w:rPr>
        <w:t>” shall mean 2.99 times Executive’s “base amount,” within the meaning of Section 280G(b)(3)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Successors</w:t>
      </w:r>
      <w:r>
        <w:rPr>
          <w:rFonts w:ascii="Times New Roman;Times;serif" w:hAnsi="Times New Roman;Times;serif"/>
          <w:sz w:val="20"/>
        </w:rPr>
        <w:t>. This Agreement is personal to Executive and without the prior written consent of the Company shall not be assignable by Executive otherwise than by will 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Indemnification</w:t>
      </w:r>
      <w:r>
        <w:rPr>
          <w:rFonts w:ascii="Times New Roman;Times;serif" w:hAnsi="Times New Roman;Times;serif"/>
          <w:sz w:val="20"/>
        </w:rPr>
        <w:t xml:space="preserve">. The Company shall indemnify Executive and hold him harmless to the 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tbl>
      <w:tblPr>
        <w:tblW w:w="1563" w:type="dxa"/>
        <w:jc w:val="left"/>
        <w:tblInd w:w="0" w:type="dxa"/>
        <w:tblLayout w:type="fixed"/>
        <w:tblCellMar>
          <w:top w:w="0" w:type="dxa"/>
          <w:left w:w="0" w:type="dxa"/>
          <w:bottom w:w="0" w:type="dxa"/>
          <w:right w:w="0" w:type="dxa"/>
        </w:tblCellMar>
      </w:tblPr>
      <w:tblGrid>
        <w:gridCol w:w="23"/>
        <w:gridCol w:w="275"/>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12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Miscellaneous</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Governing Law and Dispute Resolution</w:t>
      </w:r>
      <w:r>
        <w:rPr>
          <w:rFonts w:ascii="Times New Roman;Times;serif" w:hAnsi="Times New Roman;Times;serif"/>
          <w:sz w:val="20"/>
        </w:rPr>
        <w:t xml:space="preserve">. This Agreement shall be governed by and construed in accordance with the laws of the State of Arkansas, without reference to principles of conflict of laws, </w:t>
      </w:r>
      <w:r>
        <w:rPr>
          <w:rFonts w:ascii="Times New Roman;Times;serif" w:hAnsi="Times New Roman;Times;serif"/>
          <w:sz w:val="20"/>
          <w:u w:val="single"/>
        </w:rPr>
        <w:t>provided</w:t>
      </w:r>
      <w:r>
        <w:rPr>
          <w:rFonts w:ascii="Times New Roman;Times;serif" w:hAnsi="Times New Roman;Times;serif"/>
          <w:sz w:val="20"/>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Notices</w:t>
      </w:r>
      <w:r>
        <w:rPr>
          <w:rFonts w:ascii="Times New Roman;Times;serif" w:hAnsi="Times New Roman;Times;serif"/>
          <w:sz w:val="20"/>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If to Executive</w:t>
      </w:r>
      <w:r>
        <w:rPr>
          <w:rFonts w:ascii="Times New Roman;Times;serif" w:hAnsi="Times New Roman;Times;serif"/>
          <w:sz w:val="20"/>
        </w:rPr>
        <w:t>: To the most recent address on file with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If to the Company</w:t>
      </w:r>
      <w:r>
        <w:rPr>
          <w:rFonts w:ascii="Times New Roman;Times;serif" w:hAnsi="Times New Roman;Times;serif"/>
          <w:sz w:val="20"/>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Westrock Coffee Company</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4009 N. Rodney Parham Road</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2"/>
        <w:ind w:left="1440" w:right="0" w:hanging="0"/>
        <w:jc w:val="both"/>
        <w:rPr>
          <w:rFonts w:ascii="Times New Roman;Times;serif" w:hAnsi="Times New Roman;Times;serif"/>
          <w:sz w:val="20"/>
        </w:rPr>
      </w:pPr>
      <w:r>
        <w:rPr>
          <w:rFonts w:ascii="Times New Roman;Times;serif" w:hAnsi="Times New Roman;Times;serif"/>
          <w:sz w:val="20"/>
        </w:rPr>
        <w:t>Little Rock, AR 72212</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Attn: Chief Financial Officer</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Email: chris@westrockcoffee.com</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Phone: 501.918.9362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address as either party shall have furnished to the other in writing in accordance herewith. Notice and communications shall be effective when actually received by the addressee.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Acknowledgements</w:t>
      </w:r>
      <w:r>
        <w:rPr>
          <w:rFonts w:ascii="Times New Roman;Times;serif" w:hAnsi="Times New Roman;Times;serif"/>
          <w:sz w:val="20"/>
        </w:rPr>
        <w:t>.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Invalidity</w:t>
      </w:r>
      <w:r>
        <w:rPr>
          <w:rFonts w:ascii="Times New Roman;Times;serif" w:hAnsi="Times New Roman;Times;serif"/>
          <w:sz w:val="20"/>
        </w:rPr>
        <w:t>. If any term or provision of this Agreement or the application thereof to any 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Survivability</w:t>
      </w:r>
      <w:r>
        <w:rPr>
          <w:rFonts w:ascii="Times New Roman;Times;serif" w:hAnsi="Times New Roman;Times;serif"/>
          <w:sz w:val="20"/>
        </w:rPr>
        <w:t>. The provisions of this Agreement that by their terms call for performance subsequent to the termination of either Executive’s employment or this Agreement (including the terms of Sections 5, 7, 8 and 10) shall so survive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Section Headings; Construction</w:t>
      </w:r>
      <w:r>
        <w:rPr>
          <w:rFonts w:ascii="Times New Roman;Times;serif" w:hAnsi="Times New Roman;Times;serif"/>
          <w:sz w:val="20"/>
        </w:rPr>
        <w:t>. The section headings used in this Agreement are included solely for convenience and shall not affect, or be used in connection with, the interpretation hereof. For purposes of this Agreement, the term “including” shall mean “including,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Counterparts</w:t>
      </w:r>
      <w:r>
        <w:rPr>
          <w:rFonts w:ascii="Times New Roman;Times;serif" w:hAnsi="Times New Roman;Times;serif"/>
          <w:sz w:val="20"/>
        </w:rPr>
        <w:t>. This Agreement may be executed in several counterparts, each of which shall be deemed to be an original but all of which together shall constitute one and the same instrument.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Tax Withholding</w:t>
      </w:r>
      <w:r>
        <w:rPr>
          <w:rFonts w:ascii="Times New Roman;Times;serif" w:hAnsi="Times New Roman;Times;serif"/>
          <w:sz w:val="20"/>
        </w:rPr>
        <w:t>. The Company may withhold from any amounts payable under this Agreement such Federal, state, local or foreign taxes as shall be required to be withheld pursuant to any applicable law or regulation.</w:t>
      </w:r>
    </w:p>
    <w:tbl>
      <w:tblPr>
        <w:tblW w:w="1398" w:type="dxa"/>
        <w:jc w:val="left"/>
        <w:tblInd w:w="0" w:type="dxa"/>
        <w:tblLayout w:type="fixed"/>
        <w:tblCellMar>
          <w:top w:w="0" w:type="dxa"/>
          <w:left w:w="0" w:type="dxa"/>
          <w:bottom w:w="0" w:type="dxa"/>
          <w:right w:w="0" w:type="dxa"/>
        </w:tblCellMar>
      </w:tblPr>
      <w:tblGrid>
        <w:gridCol w:w="23"/>
        <w:gridCol w:w="20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1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Section 409A</w:t>
            </w:r>
            <w:r>
              <w:rPr>
                <w:rFonts w:ascii="Times New Roman;Times;serif" w:hAnsi="Times New Roman;Times;serif"/>
                <w:sz w:val="20"/>
              </w:rPr>
              <w:t>.</w:t>
            </w:r>
          </w:p>
        </w:tc>
      </w:tr>
    </w:tbl>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General</w:t>
      </w:r>
      <w:r>
        <w:rPr>
          <w:rFonts w:ascii="Times New Roman;Times;serif" w:hAnsi="Times New Roman;Times;serif"/>
          <w:sz w:val="20"/>
        </w:rPr>
        <w:t>. It is intended that payments and benefits made or provided under this 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Reimbursements and In-Kind Benefits</w:t>
      </w:r>
      <w:r>
        <w:rPr>
          <w:rFonts w:ascii="Times New Roman;Times;serif" w:hAnsi="Times New Roman;Times;serif"/>
          <w:sz w:val="20"/>
        </w:rPr>
        <w:t>. Notwithstanding anything to the 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Delay of Payments</w:t>
      </w:r>
      <w:r>
        <w:rPr>
          <w:rFonts w:ascii="Times New Roman;Times;serif" w:hAnsi="Times New Roman;Times;serif"/>
          <w:sz w:val="20"/>
        </w:rPr>
        <w:t>. Notwithstanding any other provision of this Agreement to the 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 Section 409A of the Code) on account of Executive’s separation from service shall be accumulated and paid to Executive on the first business day of the seventh month following Executive’s separation from service (the “</w:t>
      </w:r>
      <w:r>
        <w:rPr>
          <w:rFonts w:ascii="Times New Roman;Times;serif" w:hAnsi="Times New Roman;Times;serif"/>
          <w:b/>
          <w:sz w:val="20"/>
        </w:rPr>
        <w:t>Delayed Payment Date</w:t>
      </w:r>
      <w:r>
        <w:rPr>
          <w:rFonts w:ascii="Times New Roman;Times;serif" w:hAnsi="Times New Roman;Times;serif"/>
          <w:sz w:val="20"/>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estate on the first to occur of the Delayed Payment Date or 30 calendar days after the date of Executive’s death.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Amendments</w:t>
      </w:r>
      <w:r>
        <w:rPr>
          <w:rFonts w:ascii="Times New Roman;Times;serif" w:hAnsi="Times New Roman;Times;serif"/>
          <w:sz w:val="20"/>
        </w:rPr>
        <w:t>. No provision of this Agreement shall be modified or amended except by an 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Entire Agreement</w:t>
      </w:r>
      <w:r>
        <w:rPr>
          <w:rFonts w:ascii="Times New Roman;Times;serif" w:hAnsi="Times New Roman;Times;serif"/>
          <w:sz w:val="20"/>
        </w:rPr>
        <w:t>. This Agreement constitutes the entire agreement of the Parties hereto in respect of the terms and conditions of Executive’s employment with the Company and its Affiliates, including Executive’s severance entitlements, and, as of the Effective Date, supersedes and cancels in their entirety all prior understandings, agreements and commitments (including the Prior Agreement),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each of Executive and the Company have caused this Agreement to be duly executed and delivered, effective as of the Effective Date.</w:t>
      </w:r>
    </w:p>
    <w:p>
      <w:pPr>
        <w:pStyle w:val="TextBody"/>
        <w:bidi w:val="0"/>
        <w:spacing w:before="0" w:after="0"/>
        <w:ind w:left="0" w:right="0" w:hanging="0"/>
        <w:jc w:val="left"/>
        <w:rPr/>
      </w:pPr>
      <w:r>
        <w:rPr/>
        <w:t>​</w:t>
      </w:r>
    </w:p>
    <w:tbl>
      <w:tblPr>
        <w:tblW w:w="5587" w:type="dxa"/>
        <w:jc w:val="center"/>
        <w:tblInd w:w="0" w:type="dxa"/>
        <w:tblLayout w:type="fixed"/>
        <w:tblCellMar>
          <w:top w:w="0" w:type="dxa"/>
          <w:left w:w="0" w:type="dxa"/>
          <w:bottom w:w="0" w:type="dxa"/>
          <w:right w:w="0" w:type="dxa"/>
        </w:tblCellMar>
      </w:tblPr>
      <w:tblGrid>
        <w:gridCol w:w="124"/>
        <w:gridCol w:w="346"/>
        <w:gridCol w:w="406"/>
        <w:gridCol w:w="4711"/>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 Keith Harvey</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Keith Harvey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12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16"/>
        </w:rPr>
      </w:pPr>
      <w:r>
        <w:rPr>
          <w:rFonts w:ascii="Times New Roman;Times;serif" w:hAnsi="Times New Roman;Times;serif"/>
          <w:i/>
          <w:sz w:val="16"/>
        </w:rPr>
        <w:t>[Signature Page to Employment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RELEASE OF CLAIMS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THIS GENERAL RELEASE OF CLAIMS</w:t>
      </w:r>
      <w:r>
        <w:rPr>
          <w:rFonts w:ascii="Times New Roman;Times;serif" w:hAnsi="Times New Roman;Times;serif"/>
          <w:sz w:val="20"/>
        </w:rPr>
        <w:t xml:space="preserve"> (this “</w:t>
      </w:r>
      <w:r>
        <w:rPr>
          <w:rFonts w:ascii="Times New Roman;Times;serif" w:hAnsi="Times New Roman;Times;serif"/>
          <w:b/>
          <w:sz w:val="20"/>
        </w:rPr>
        <w:t>Release</w:t>
      </w:r>
      <w:r>
        <w:rPr>
          <w:rFonts w:ascii="Times New Roman;Times;serif" w:hAnsi="Times New Roman;Times;serif"/>
          <w:sz w:val="20"/>
        </w:rPr>
        <w:t>”) is executed by L. Keith Harvey (“</w:t>
      </w:r>
      <w:r>
        <w:rPr>
          <w:rFonts w:ascii="Times New Roman;Times;serif" w:hAnsi="Times New Roman;Times;serif"/>
          <w:b/>
          <w:sz w:val="20"/>
        </w:rPr>
        <w:t>Executive</w:t>
      </w:r>
      <w:r>
        <w:rPr>
          <w:rFonts w:ascii="Times New Roman;Times;serif" w:hAnsi="Times New Roman;Times;serif"/>
          <w:sz w:val="20"/>
        </w:rPr>
        <w:t>”) as of the date set forth on the signature page hereto.  For purposes of this Release, reference is made to the Employment Agreement between Westrock Coffee Company (the “</w:t>
      </w:r>
      <w:r>
        <w:rPr>
          <w:rFonts w:ascii="Times New Roman;Times;serif" w:hAnsi="Times New Roman;Times;serif"/>
          <w:b/>
          <w:sz w:val="20"/>
        </w:rPr>
        <w:t>Company</w:t>
      </w:r>
      <w:r>
        <w:rPr>
          <w:rFonts w:ascii="Times New Roman;Times;serif" w:hAnsi="Times New Roman;Times;serif"/>
          <w:sz w:val="20"/>
        </w:rPr>
        <w:t>”) and Executive, dated as of June 8, 2026 (the “</w:t>
      </w:r>
      <w:r>
        <w:rPr>
          <w:rFonts w:ascii="Times New Roman;Times;serif" w:hAnsi="Times New Roman;Times;serif"/>
          <w:b/>
          <w:sz w:val="20"/>
        </w:rPr>
        <w:t>Employment Agreement</w:t>
      </w:r>
      <w:r>
        <w:rPr>
          <w:rFonts w:ascii="Times New Roman;Times;serif" w:hAnsi="Times New Roman;Times;serif"/>
          <w:sz w:val="20"/>
        </w:rPr>
        <w:t>”).  Terms that are capitalized but not defined herein shall have the meanings set forth in the Employment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General Release and Waiver of Claims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Release</w:t>
      </w:r>
      <w:r>
        <w:rPr>
          <w:rFonts w:ascii="Times New Roman;Times;serif" w:hAnsi="Times New Roman;Times;serif"/>
          <w:sz w:val="20"/>
        </w:rPr>
        <w:t>.  In consideration of the payments and benefits afforded under the Employment Agreement, and after consultation with counsel, Executive and each of Executive’s respective heirs, executors, administrators, representatives, agents, successors and assigns (collectively, the “</w:t>
      </w:r>
      <w:r>
        <w:rPr>
          <w:rFonts w:ascii="Times New Roman;Times;serif" w:hAnsi="Times New Roman;Times;serif"/>
          <w:b/>
          <w:sz w:val="20"/>
        </w:rPr>
        <w:t>Releasors</w:t>
      </w:r>
      <w:r>
        <w:rPr>
          <w:rFonts w:ascii="Times New Roman;Times;serif" w:hAnsi="Times New Roman;Times;serif"/>
          <w:sz w:val="20"/>
        </w:rPr>
        <w:t>”) hereby irrevocably and unconditionally release and forever discharge the Company and its Affiliates and each of its officers, employees, directors and agents (“</w:t>
      </w:r>
      <w:r>
        <w:rPr>
          <w:rFonts w:ascii="Times New Roman;Times;serif" w:hAnsi="Times New Roman;Times;serif"/>
          <w:b/>
          <w:sz w:val="20"/>
        </w:rPr>
        <w:t>Releasees</w:t>
      </w:r>
      <w:r>
        <w:rPr>
          <w:rFonts w:ascii="Times New Roman;Times;serif" w:hAnsi="Times New Roman;Times;serif"/>
          <w:sz w:val="20"/>
        </w:rPr>
        <w:t>”) from any and all claims, actions, causes of action, rights, judgments, obligations, damages, demands, accountings or liabilities of whatever kind or character (collectively, “</w:t>
      </w:r>
      <w:r>
        <w:rPr>
          <w:rFonts w:ascii="Times New Roman;Times;serif" w:hAnsi="Times New Roman;Times;serif"/>
          <w:b/>
          <w:sz w:val="20"/>
        </w:rPr>
        <w:t>Claims</w:t>
      </w:r>
      <w:r>
        <w:rPr>
          <w:rFonts w:ascii="Times New Roman;Times;serif" w:hAnsi="Times New Roman;Times;serif"/>
          <w:sz w:val="20"/>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Exceptions to Release</w:t>
      </w:r>
      <w:r>
        <w:rPr>
          <w:rFonts w:ascii="Times New Roman;Times;serif" w:hAnsi="Times New Roman;Times;serif"/>
          <w:sz w:val="20"/>
        </w:rPr>
        <w:t>.  Notwithstanding anything contained herein to the contrary, this 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 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Specific Release of ADEA Claims</w:t>
      </w:r>
      <w:r>
        <w:rPr>
          <w:rFonts w:ascii="Times New Roman;Times;serif" w:hAnsi="Times New Roman;Times;serif"/>
          <w:sz w:val="20"/>
        </w:rPr>
        <w:t>.  In further consideration of the payments and benefits 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amended, and the applicable rules and regulations promulgated thereunder (“</w:t>
      </w:r>
      <w:r>
        <w:rPr>
          <w:rFonts w:ascii="Times New Roman;Times;serif" w:hAnsi="Times New Roman;Times;serif"/>
          <w:b/>
          <w:sz w:val="20"/>
        </w:rPr>
        <w:t>ADEA</w:t>
      </w:r>
      <w:r>
        <w:rPr>
          <w:rFonts w:ascii="Times New Roman;Times;serif" w:hAnsi="Times New Roman;Times;serif"/>
          <w:sz w:val="20"/>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Times;serif" w:hAnsi="Times New Roman;Times;serif"/>
          <w:b/>
          <w:sz w:val="20"/>
        </w:rPr>
        <w:t>[twenty-one (21)] [forty-five (45)]</w:t>
      </w:r>
      <w:r>
        <w:rPr>
          <w:rFonts w:ascii="Times New Roman;Times;serif" w:hAnsi="Times New Roman;Times;serif"/>
          <w:sz w:val="20"/>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No Assignment</w:t>
      </w:r>
      <w:r>
        <w:rPr>
          <w:rFonts w:ascii="Times New Roman;Times;serif" w:hAnsi="Times New Roman;Times;serif"/>
          <w:sz w:val="20"/>
        </w:rPr>
        <w:t>.  Executive represents and warrants that Executive has not assigned any of the Claims being released under this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Proceedings</w:t>
      </w:r>
      <w:r>
        <w:rPr>
          <w:rFonts w:ascii="Times New Roman;Times;serif" w:hAnsi="Times New Roman;Times;serif"/>
          <w:sz w:val="20"/>
        </w:rPr>
        <w:t>.  Executive has not filed, and agrees not to initiate or cause to be initiated on Executive’s behalf, any complaint, charge, claim or proceeding against the Releasees with respect to any Claims released under Section 1(a) or (c) before any local, state or federal agency, court or other body (each, individually, a “</w:t>
      </w:r>
      <w:r>
        <w:rPr>
          <w:rFonts w:ascii="Times New Roman;Times;serif" w:hAnsi="Times New Roman;Times;serif"/>
          <w:b/>
          <w:sz w:val="20"/>
        </w:rPr>
        <w:t>Proceeding</w:t>
      </w:r>
      <w:r>
        <w:rPr>
          <w:rFonts w:ascii="Times New Roman;Times;serif" w:hAnsi="Times New Roman;Times;serif"/>
          <w:sz w:val="20"/>
        </w:rPr>
        <w:t xml:space="preserve">”), and agrees not to participate voluntarily in any Proceeding involving such Claims;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Times;serif" w:hAnsi="Times New Roman;Times;serif"/>
          <w:sz w:val="20"/>
          <w:u w:val="single"/>
        </w:rPr>
        <w:t>provided</w:t>
      </w:r>
      <w:r>
        <w:rPr>
          <w:rFonts w:ascii="Times New Roman;Times;serif" w:hAnsi="Times New Roman;Times;serif"/>
          <w:sz w:val="20"/>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Severability Clause</w:t>
      </w:r>
      <w:r>
        <w:rPr>
          <w:rFonts w:ascii="Times New Roman;Times;serif" w:hAnsi="Times New Roman;Times;serif"/>
          <w:sz w:val="20"/>
        </w:rPr>
        <w:t>.  In the event any provision or part of this Release is found to be invalid or unenforceable, only that particular provision or part so found, and not the entire Release, shall be inoperative.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No Admission</w:t>
      </w:r>
      <w:r>
        <w:rPr>
          <w:rFonts w:ascii="Times New Roman;Times;serif" w:hAnsi="Times New Roman;Times;serif"/>
          <w:sz w:val="20"/>
        </w:rPr>
        <w:t>.  Nothing contained in this Release shall be deemed or construed as an admission of wrongdoing or liability on the part of the Releasees.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Governing Law and Venue</w:t>
      </w:r>
      <w:r>
        <w:rPr>
          <w:rFonts w:ascii="Times New Roman;Times;serif" w:hAnsi="Times New Roman;Times;serif"/>
          <w:sz w:val="20"/>
        </w:rPr>
        <w:t xml:space="preserve">.  All matters affecting this Release, including the validity thereof, are to be governed by, and interpreted and construed in accordance with, the laws of the State of Arkansas applicable to contracts executed in and to be performed in that State, </w:t>
      </w:r>
      <w:r>
        <w:rPr>
          <w:rFonts w:ascii="Times New Roman;Times;serif" w:hAnsi="Times New Roman;Times;serif"/>
          <w:sz w:val="20"/>
          <w:u w:val="single"/>
        </w:rPr>
        <w:t>provided</w:t>
      </w:r>
      <w:r>
        <w:rPr>
          <w:rFonts w:ascii="Times New Roman;Times;serif" w:hAnsi="Times New Roman;Times;serif"/>
          <w:sz w:val="20"/>
        </w:rPr>
        <w:t xml:space="preserve"> that rights to indemnification shall be governed by and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Counterparts</w:t>
      </w:r>
      <w:r>
        <w:rPr>
          <w:rFonts w:ascii="Times New Roman;Times;serif" w:hAnsi="Times New Roman;Times;serif"/>
          <w:sz w:val="20"/>
        </w:rPr>
        <w:t>.  This Release may be executed in counterparts and each counterpart shall be deemed an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Notices</w:t>
      </w:r>
      <w:r>
        <w:rPr>
          <w:rFonts w:ascii="Times New Roman;Times;serif" w:hAnsi="Times New Roman;Times;serif"/>
          <w:sz w:val="20"/>
        </w:rPr>
        <w:t>.  All notices, requests, demands or other communications under this Release shall be in writing and shall be deemed to have been duly given when delivered in person or deposited in the United States mail, postage prepaid, by registered or certified mail, return receipt requested, to the party to whom such notice is being given as follows:</w:t>
      </w:r>
    </w:p>
    <w:tbl>
      <w:tblPr>
        <w:tblW w:w="6768" w:type="dxa"/>
        <w:jc w:val="left"/>
        <w:tblInd w:w="0" w:type="dxa"/>
        <w:tblLayout w:type="fixed"/>
        <w:tblCellMar>
          <w:top w:w="0" w:type="dxa"/>
          <w:left w:w="0" w:type="dxa"/>
          <w:bottom w:w="0" w:type="dxa"/>
          <w:right w:w="0" w:type="dxa"/>
        </w:tblCellMar>
      </w:tblPr>
      <w:tblGrid>
        <w:gridCol w:w="23"/>
        <w:gridCol w:w="13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to Employee:</w:t>
            </w:r>
          </w:p>
        </w:tc>
        <w:tc>
          <w:tcPr>
            <w:tcW w:w="53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Executive’s last address on the books and records of the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1440" w:right="0" w:hanging="2160"/>
        <w:jc w:val="both"/>
        <w:rPr>
          <w:rFonts w:ascii="Times New Roman;Times;serif" w:hAnsi="Times New Roman;Times;serif"/>
          <w:sz w:val="20"/>
        </w:rPr>
      </w:pPr>
      <w:r>
        <w:rPr>
          <w:rFonts w:ascii="Times New Roman;Times;serif" w:hAnsi="Times New Roman;Times;serif"/>
          <w:sz w:val="20"/>
        </w:rPr>
        <w:t>As to the Company:[ADDRESS AS OF DATE OF RELEASE]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party may change Executive’s address or the name of the person to whose attention the notice or other communication shall be directed from time to time by serving notice thereof upon the other party as provided herein.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Executive has executed this Release on the date set forth below.</w:t>
      </w:r>
    </w:p>
    <w:p>
      <w:pPr>
        <w:pStyle w:val="TextBody"/>
        <w:bidi w:val="0"/>
        <w:spacing w:before="0" w:after="0"/>
        <w:ind w:left="0" w:right="0" w:hanging="0"/>
        <w:jc w:val="both"/>
        <w:rPr/>
      </w:pPr>
      <w:r>
        <w:rPr/>
        <w:t>​</w:t>
      </w:r>
    </w:p>
    <w:tbl>
      <w:tblPr>
        <w:tblW w:w="1911" w:type="dxa"/>
        <w:jc w:val="center"/>
        <w:tblInd w:w="0" w:type="dxa"/>
        <w:tblLayout w:type="fixed"/>
        <w:tblCellMar>
          <w:top w:w="0" w:type="dxa"/>
          <w:left w:w="0" w:type="dxa"/>
          <w:bottom w:w="28" w:type="dxa"/>
          <w:right w:w="0" w:type="dxa"/>
        </w:tblCellMar>
      </w:tblPr>
      <w:tblGrid>
        <w:gridCol w:w="1411"/>
        <w:gridCol w:w="346"/>
        <w:gridCol w:w="154"/>
      </w:tblGrid>
      <w:tr>
        <w:trPr/>
        <w:tc>
          <w:tcPr>
            <w:tcW w:w="1411" w:type="dxa"/>
            <w:tcBorders>
              <w:bottom w:val="single" w:sz="2" w:space="0" w:color="000000"/>
            </w:tcBorders>
            <w:vAlign w:val="center"/>
          </w:tcPr>
          <w:p>
            <w:pPr>
              <w:pStyle w:val="TableContents"/>
              <w:pBdr/>
              <w:bidi w:val="0"/>
              <w:spacing w:before="0" w:after="0"/>
              <w:ind w:left="0" w:right="0" w:hanging="0"/>
              <w:jc w:val="left"/>
              <w:rPr/>
            </w:pPr>
            <w:r>
              <w:rPr/>
              <w:t>​</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411"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Keith Harvey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411"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41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as of: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1632" w:name="west-20260630xex10d5.htm"/>
      <w:bookmarkStart w:id="1633" w:name="kswest20260630xex10d5"/>
      <w:bookmarkEnd w:id="1632"/>
      <w:bookmarkEnd w:id="1633"/>
      <w:r>
        <w:rPr>
          <w:rFonts w:ascii="Times New Roman;Times;serif" w:hAnsi="Times New Roman;Times;serif"/>
          <w:b/>
          <w:sz w:val="20"/>
        </w:rPr>
        <w:t xml:space="preserve">Exhibit </w:t>
      </w:r>
      <w:r>
        <w:rPr>
          <w:rFonts w:ascii="Times New Roman;Times;serif" w:hAnsi="Times New Roman;Times;serif"/>
          <w:b/>
          <w:caps/>
          <w:sz w:val="20"/>
        </w:rPr>
        <w:t>10.5</w:t>
      </w:r>
      <w:r>
        <w:br w:type="page"/>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EMPLOYMENT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THIS EMPLOYMENT AGREEMENT</w:t>
      </w:r>
      <w:r>
        <w:rPr>
          <w:rFonts w:ascii="Times New Roman;Times;serif" w:hAnsi="Times New Roman;Times;serif"/>
          <w:sz w:val="20"/>
        </w:rPr>
        <w:t xml:space="preserve"> (this “</w:t>
      </w:r>
      <w:r>
        <w:rPr>
          <w:rFonts w:ascii="Times New Roman;Times;serif" w:hAnsi="Times New Roman;Times;serif"/>
          <w:b/>
          <w:sz w:val="20"/>
        </w:rPr>
        <w:t>Agreement</w:t>
      </w:r>
      <w:r>
        <w:rPr>
          <w:rFonts w:ascii="Times New Roman;Times;serif" w:hAnsi="Times New Roman;Times;serif"/>
          <w:sz w:val="20"/>
        </w:rPr>
        <w:t>”) is made and entered into, as of August 5, 2026 (the “</w:t>
      </w:r>
      <w:r>
        <w:rPr>
          <w:rFonts w:ascii="Times New Roman;Times;serif" w:hAnsi="Times New Roman;Times;serif"/>
          <w:b/>
          <w:sz w:val="20"/>
        </w:rPr>
        <w:t>Effective Date</w:t>
      </w:r>
      <w:r>
        <w:rPr>
          <w:rFonts w:ascii="Times New Roman;Times;serif" w:hAnsi="Times New Roman;Times;serif"/>
          <w:sz w:val="20"/>
        </w:rPr>
        <w:t>”), by and between Westrock Coffee Company (the “</w:t>
      </w:r>
      <w:r>
        <w:rPr>
          <w:rFonts w:ascii="Times New Roman;Times;serif" w:hAnsi="Times New Roman;Times;serif"/>
          <w:b/>
          <w:sz w:val="20"/>
        </w:rPr>
        <w:t>Company</w:t>
      </w:r>
      <w:r>
        <w:rPr>
          <w:rFonts w:ascii="Times New Roman;Times;serif" w:hAnsi="Times New Roman;Times;serif"/>
          <w:sz w:val="20"/>
        </w:rPr>
        <w:t>”) and Samuel Ford (“</w:t>
      </w:r>
      <w:r>
        <w:rPr>
          <w:rFonts w:ascii="Times New Roman;Times;serif" w:hAnsi="Times New Roman;Times;serif"/>
          <w:b/>
          <w:sz w:val="20"/>
        </w:rPr>
        <w:t>Executive</w:t>
      </w:r>
      <w:r>
        <w:rPr>
          <w:rFonts w:ascii="Times New Roman;Times;serif" w:hAnsi="Times New Roman;Times;serif"/>
          <w:sz w:val="20"/>
        </w:rPr>
        <w:t>”, and together with the Company,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Executive previously entered into an Employment Agreement effective as of August 26, 2022 (the “</w:t>
      </w:r>
      <w:r>
        <w:rPr>
          <w:rFonts w:ascii="Times New Roman;Times;serif" w:hAnsi="Times New Roman;Times;serif"/>
          <w:b/>
          <w:sz w:val="20"/>
        </w:rPr>
        <w:t>Prior Agreement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desire to replace the Prior Agreement with this Agreement to set forth the terms of Executive’s service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w:t>
      </w:r>
      <w:r>
        <w:rPr>
          <w:rFonts w:ascii="Times New Roman;Times;serif" w:hAnsi="Times New Roman;Times;serif"/>
          <w:sz w:val="20"/>
        </w:rPr>
        <w:t xml:space="preserve">, </w:t>
      </w:r>
      <w:r>
        <w:rPr>
          <w:rFonts w:ascii="Times New Roman;Times;serif" w:hAnsi="Times New Roman;Times;serif"/>
          <w:b/>
          <w:sz w:val="20"/>
        </w:rPr>
        <w:t>THEREFORE</w:t>
      </w:r>
      <w:r>
        <w:rPr>
          <w:rFonts w:ascii="Times New Roman;Times;serif" w:hAnsi="Times New Roman;Times;serif"/>
          <w:sz w:val="20"/>
        </w:rPr>
        <w:t>, in consideration of the foregoing, the mutual promises contained herein and other good and valuable consideration, the receipt and sufficiency of which are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Employment Period</w:t>
      </w:r>
      <w:r>
        <w:rPr>
          <w:rFonts w:ascii="Times New Roman;Times;serif" w:hAnsi="Times New Roman;Times;serif"/>
          <w:sz w:val="20"/>
        </w:rPr>
        <w:t>.  The Company agrees to employ Executive, and Executive agrees to serve the Company and its Affiliates (as defined below), subject to the terms and conditions of this Agreement, for the period commencing on the Effective Date and ending on the third anniversary of the Effective Date (the “</w:t>
      </w:r>
      <w:r>
        <w:rPr>
          <w:rFonts w:ascii="Times New Roman;Times;serif" w:hAnsi="Times New Roman;Times;serif"/>
          <w:b/>
          <w:sz w:val="20"/>
        </w:rPr>
        <w:t>Employment Period</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commencing on the first anniversary of the Effective Date, and on each annual anniversary thereafter (such date and each annual anniversary thereof shall be hereinafter referred to as the “</w:t>
      </w:r>
      <w:r>
        <w:rPr>
          <w:rFonts w:ascii="Times New Roman;Times;serif" w:hAnsi="Times New Roman;Times;serif"/>
          <w:b/>
          <w:sz w:val="20"/>
        </w:rPr>
        <w:t>Renewal Date</w:t>
      </w:r>
      <w:r>
        <w:rPr>
          <w:rFonts w:ascii="Times New Roman;Times;serif" w:hAnsi="Times New Roman;Times;serif"/>
          <w:sz w:val="20"/>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Times New Roman;Times;serif" w:hAnsi="Times New Roman;Times;serif"/>
          <w:b/>
          <w:sz w:val="20"/>
        </w:rPr>
        <w:t>Notice of Non-Renewal</w:t>
      </w:r>
      <w:r>
        <w:rPr>
          <w:rFonts w:ascii="Times New Roman;Times;serif" w:hAnsi="Times New Roman;Times;serif"/>
          <w:sz w:val="20"/>
        </w:rPr>
        <w:t>”). For purposes of this Agreement, the term “</w:t>
      </w:r>
      <w:r>
        <w:rPr>
          <w:rFonts w:ascii="Times New Roman;Times;serif" w:hAnsi="Times New Roman;Times;serif"/>
          <w:b/>
          <w:sz w:val="20"/>
        </w:rPr>
        <w:t>Affiliate</w:t>
      </w:r>
      <w:r>
        <w:rPr>
          <w:rFonts w:ascii="Times New Roman;Times;serif" w:hAnsi="Times New Roman;Times;serif"/>
          <w:sz w:val="20"/>
        </w:rPr>
        <w:t>” means an entity controlled by, controlling or under common control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Position and Duties; Location; Standard of Services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Position and Duties</w:t>
      </w:r>
      <w:r>
        <w:rPr>
          <w:rFonts w:ascii="Times New Roman;Times;serif" w:hAnsi="Times New Roman;Times;serif"/>
          <w:sz w:val="20"/>
        </w:rPr>
        <w:t>.  During the Employment Period, Executive shall serve as an Chief Trade &amp; Risk Officer of the Company and shall perform customary and appropriate duties as may be reasonably assigned to Executive from time to time by the Board of Directors of the Company (the “</w:t>
      </w:r>
      <w:r>
        <w:rPr>
          <w:rFonts w:ascii="Times New Roman;Times;serif" w:hAnsi="Times New Roman;Times;serif"/>
          <w:b/>
          <w:sz w:val="20"/>
        </w:rPr>
        <w:t>Board</w:t>
      </w:r>
      <w:r>
        <w:rPr>
          <w:rFonts w:ascii="Times New Roman;Times;serif" w:hAnsi="Times New Roman;Times;serif"/>
          <w:sz w:val="20"/>
        </w:rPr>
        <w:t>”) or the Chief Executive Officer of the Company (the “</w:t>
      </w:r>
      <w:r>
        <w:rPr>
          <w:rFonts w:ascii="Times New Roman;Times;serif" w:hAnsi="Times New Roman;Times;serif"/>
          <w:b/>
          <w:sz w:val="20"/>
        </w:rPr>
        <w:t>CEO</w:t>
      </w:r>
      <w:r>
        <w:rPr>
          <w:rFonts w:ascii="Times New Roman;Times;serif" w:hAnsi="Times New Roman;Times;serif"/>
          <w:sz w:val="20"/>
        </w:rPr>
        <w:t>”). Executive shall have such responsibilities, power and authority as those normally associated with such position in public companies of a similar stature.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Location</w:t>
      </w:r>
      <w:r>
        <w:rPr>
          <w:rFonts w:ascii="Times New Roman;Times;serif" w:hAnsi="Times New Roman;Times;serif"/>
          <w:sz w:val="20"/>
        </w:rPr>
        <w:t>.  During the Employment Period, Executive’s principal place of employment shall be the Company’s headquarters in Little Rock, Arkansas, subject to reasonable business travel at the Company’s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Standard of Services</w:t>
      </w:r>
      <w:r>
        <w:rPr>
          <w:rFonts w:ascii="Times New Roman;Times;serif" w:hAnsi="Times New Roman;Times;serif"/>
          <w:sz w:val="20"/>
        </w:rPr>
        <w:t>.  During the Employment Period, Executive agrees to devote Executive’s full business attention and time to the business and affairs of the Company and its Affiliates and to use Executive’s reasonable best efforts to perform faithfully and efficiently such responsibilities. During the Employment Period, Executive may continue to serve as Chief Executive Officer and Chief Investment Officer of Westrock Asset Management, LLC,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 with the Company in the future, in each case, so long as such activities do not materially interfere with the performance of Executive’s responsibilities in accordance with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 and Employee Benefits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Annual Base Salary</w:t>
      </w:r>
      <w:r>
        <w:rPr>
          <w:rFonts w:ascii="Times New Roman;Times;serif" w:hAnsi="Times New Roman;Times;serif"/>
          <w:sz w:val="20"/>
        </w:rPr>
        <w:t>.  During the Employment Period, Executive shall receive an annual base salary (the “</w:t>
      </w:r>
      <w:r>
        <w:rPr>
          <w:rFonts w:ascii="Times New Roman;Times;serif" w:hAnsi="Times New Roman;Times;serif"/>
          <w:b/>
          <w:sz w:val="20"/>
        </w:rPr>
        <w:t>Annual Base Salary</w:t>
      </w:r>
      <w:r>
        <w:rPr>
          <w:rFonts w:ascii="Times New Roman;Times;serif" w:hAnsi="Times New Roman;Times;serif"/>
          <w:sz w:val="20"/>
        </w:rPr>
        <w:t>”) of no less than $500,000, payable in accordance with the Company’s regular payroll practices. The Annual Base Salary shall be reviewed at least annually by the Board or an appropriate committee thereof (the Board or such committee, the “</w:t>
      </w:r>
      <w:r>
        <w:rPr>
          <w:rFonts w:ascii="Times New Roman;Times;serif" w:hAnsi="Times New Roman;Times;serif"/>
          <w:b/>
          <w:sz w:val="20"/>
        </w:rPr>
        <w:t>Committee</w:t>
      </w:r>
      <w:r>
        <w:rPr>
          <w:rFonts w:ascii="Times New Roman;Times;serif" w:hAnsi="Times New Roman;Times;serif"/>
          <w:sz w:val="20"/>
        </w:rPr>
        <w:t>”) for possible increase, as determined in the discretion of the Committee. The term “Annual Base Salary” as used in this Agreement shall refer to the Annual Base Salary as it may be so adjusted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During the Employment Period, Executive shall have the opportunity to earn, for each fiscal year of the Company, an annual bonus (the “</w:t>
      </w:r>
      <w:r>
        <w:rPr>
          <w:rFonts w:ascii="Times New Roman;Times;serif" w:hAnsi="Times New Roman;Times;serif"/>
          <w:b/>
          <w:sz w:val="20"/>
        </w:rPr>
        <w:t>Annual Bonus</w:t>
      </w:r>
      <w:r>
        <w:rPr>
          <w:rFonts w:ascii="Times New Roman;Times;serif" w:hAnsi="Times New Roman;Times;serif"/>
          <w:sz w:val="20"/>
        </w:rPr>
        <w:t>”) pursuant to the terms of an annual incentive plan for senior executives of the Company, as in effect from time to time. Executive’s target Annual Bonus opportunity shall be 100% of the Annual Base Salary.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Equity Incentives</w:t>
      </w:r>
      <w:r>
        <w:rPr>
          <w:rFonts w:ascii="Times New Roman;Times;serif" w:hAnsi="Times New Roman;Times;serif"/>
          <w:sz w:val="20"/>
        </w:rPr>
        <w:t>.  Executive shall be eligible to participate in the Company’s equity incentive plan, as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Other Employee Benefit Plans</w:t>
      </w:r>
      <w:r>
        <w:rPr>
          <w:rFonts w:ascii="Times New Roman;Times;serif" w:hAnsi="Times New Roman;Times;serif"/>
          <w:sz w:val="20"/>
        </w:rPr>
        <w:t>.  During the Employment Period, Executive shall be 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Business Expenses</w:t>
      </w:r>
      <w:r>
        <w:rPr>
          <w:rFonts w:ascii="Times New Roman;Times;serif" w:hAnsi="Times New Roman;Times;serif"/>
          <w:sz w:val="20"/>
        </w:rPr>
        <w:t>.  Executive shall be entitled to receive prompt reimbursement for all business expenses (including travel, entertainment, professional dues and subscriptions) incurred by Executive, in accordance with the Company’s policies as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Termination of Employment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Death or Disability</w:t>
      </w:r>
      <w:r>
        <w:rPr>
          <w:rFonts w:ascii="Times New Roman;Times;serif" w:hAnsi="Times New Roman;Times;serif"/>
          <w:sz w:val="20"/>
        </w:rPr>
        <w:t>.  Executive’s employment shall terminate automatically upon 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Times New Roman;Times;serif" w:hAnsi="Times New Roman;Times;serif"/>
          <w:sz w:val="15"/>
        </w:rPr>
        <w:t>th</w:t>
      </w:r>
      <w:r>
        <w:rPr>
          <w:rFonts w:ascii="Times New Roman;Times;serif" w:hAnsi="Times New Roman;Times;serif"/>
          <w:sz w:val="20"/>
        </w:rPr>
        <w:t xml:space="preserve"> day after Executive’s receipt of such notice (the “</w:t>
      </w:r>
      <w:r>
        <w:rPr>
          <w:rFonts w:ascii="Times New Roman;Times;serif" w:hAnsi="Times New Roman;Times;serif"/>
          <w:b/>
          <w:sz w:val="20"/>
        </w:rPr>
        <w:t>Disability Effective Date</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within the 30 days after such receipt, Executive shall not have returned to full-time performance of Executive’s duties. For purposes of this Agreement, “</w:t>
      </w:r>
      <w:r>
        <w:rPr>
          <w:rFonts w:ascii="Times New Roman;Times;serif" w:hAnsi="Times New Roman;Times;serif"/>
          <w:b/>
          <w:sz w:val="20"/>
        </w:rPr>
        <w:t>Disability</w:t>
      </w:r>
      <w:r>
        <w:rPr>
          <w:rFonts w:ascii="Times New Roman;Times;serif" w:hAnsi="Times New Roman;Times;serif"/>
          <w:sz w:val="20"/>
        </w:rPr>
        <w:t>” shall mean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absence of Executive from Executive’s duties with the Company on a full-time basis for 120 consecutive days, or for 180 days (which need not be consecutive) within a 365-day period, as a result of incapacity due to mental or physical illness.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With or Without Cause</w:t>
      </w:r>
      <w:r>
        <w:rPr>
          <w:rFonts w:ascii="Times New Roman;Times;serif" w:hAnsi="Times New Roman;Times;serif"/>
          <w:sz w:val="20"/>
        </w:rPr>
        <w:t>.  The Company may terminate Executive’s employment during the Employment Period either with or without Cause. For purposes of this Agreement, “</w:t>
      </w:r>
      <w:r>
        <w:rPr>
          <w:rFonts w:ascii="Times New Roman;Times;serif" w:hAnsi="Times New Roman;Times;serif"/>
          <w:b/>
          <w:sz w:val="20"/>
        </w:rPr>
        <w:t>Cause</w:t>
      </w:r>
      <w:r>
        <w:rPr>
          <w:rFonts w:ascii="Times New Roman;Times;serif" w:hAnsi="Times New Roman;Times;serif"/>
          <w:sz w:val="20"/>
        </w:rPr>
        <w:t>” shall mean: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(i)Executive’s willful failure to substantially perform Executive’s duties;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(ii)any act of fraud, misappropriation, dishonesty, malfeasance or embezzlement by Executive in connection with the performance of Executive’s duties to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(iii)Executive’s material violation of any policies of the Company or any restrictive covenants applicable to Executive;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(iv)Executive’s conviction of, or entering a plea of </w:t>
      </w:r>
      <w:r>
        <w:rPr>
          <w:rFonts w:ascii="Times New Roman;Times;serif" w:hAnsi="Times New Roman;Times;serif"/>
          <w:i/>
          <w:sz w:val="20"/>
        </w:rPr>
        <w:t>nolo contendere</w:t>
      </w:r>
      <w:r>
        <w:rPr>
          <w:rFonts w:ascii="Times New Roman;Times;serif" w:hAnsi="Times New Roman;Times;serif"/>
          <w:sz w:val="20"/>
        </w:rPr>
        <w:t xml:space="preserve"> to, a felony.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Times New Roman;Times;serif" w:hAnsi="Times New Roman;Times;serif"/>
          <w:i/>
          <w:sz w:val="20"/>
        </w:rPr>
        <w:t>de novo</w:t>
      </w:r>
      <w:r>
        <w:rPr>
          <w:rFonts w:ascii="Times New Roman;Times;serif" w:hAnsi="Times New Roman;Times;serif"/>
          <w:sz w:val="20"/>
        </w:rPr>
        <w:t xml:space="preserve"> review by a court of law pursuant to the dispute provisions of Section 11(a).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With or Without Good Reason</w:t>
      </w:r>
      <w:r>
        <w:rPr>
          <w:rFonts w:ascii="Times New Roman;Times;serif" w:hAnsi="Times New Roman;Times;serif"/>
          <w:sz w:val="20"/>
        </w:rPr>
        <w:t>.  Executive’s employment may be terminated by Executive either with or without Good Reason. For purposes of this Agreement, “</w:t>
      </w:r>
      <w:r>
        <w:rPr>
          <w:rFonts w:ascii="Times New Roman;Times;serif" w:hAnsi="Times New Roman;Times;serif"/>
          <w:b/>
          <w:sz w:val="20"/>
        </w:rPr>
        <w:t>Good Reason</w:t>
      </w:r>
      <w:r>
        <w:rPr>
          <w:rFonts w:ascii="Times New Roman;Times;serif" w:hAnsi="Times New Roman;Times;serif"/>
          <w:sz w:val="20"/>
        </w:rPr>
        <w:t>” shall mean Executive’s voluntary resignation after any of the following actions are taken by the Company or any of its Affiliates without Executive’s written consent: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(i)A material diminution in Executive’s title, authority, duties or responsibilities;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 material reduction in the Annual Base Salary or target Annual Bonus opportunity;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(iii)A relocation of Executive’s primary place of employment by more than 25 miles from Executive’s primary place of employment as set forth in this Agreement;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(iv)The Company’s violation of the terms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Times New Roman;Times;serif" w:hAnsi="Times New Roman;Times;serif"/>
          <w:b/>
          <w:sz w:val="20"/>
        </w:rPr>
        <w:t>Cure Period</w:t>
      </w:r>
      <w:r>
        <w:rPr>
          <w:rFonts w:ascii="Times New Roman;Times;serif" w:hAnsi="Times New Roman;Times;serif"/>
          <w:sz w:val="20"/>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Retirement</w:t>
      </w:r>
      <w:r>
        <w:rPr>
          <w:rFonts w:ascii="Times New Roman;Times;serif" w:hAnsi="Times New Roman;Times;serif"/>
          <w:sz w:val="20"/>
        </w:rPr>
        <w:t>.  Executive’s employment may be terminated by Executive due to Retirement. For purposes of this Agreement, “</w:t>
      </w:r>
      <w:r>
        <w:rPr>
          <w:rFonts w:ascii="Times New Roman;Times;serif" w:hAnsi="Times New Roman;Times;serif"/>
          <w:b/>
          <w:sz w:val="20"/>
        </w:rPr>
        <w:t>Retirement</w:t>
      </w:r>
      <w:r>
        <w:rPr>
          <w:rFonts w:ascii="Times New Roman;Times;serif" w:hAnsi="Times New Roman;Times;serif"/>
          <w:sz w:val="20"/>
        </w:rPr>
        <w:t xml:space="preserve">” shall mean Executive’s voluntary resignation at a time when the sum of Executive’s age and years of service equal at least 70, </w:t>
      </w:r>
      <w:r>
        <w:rPr>
          <w:rFonts w:ascii="Times New Roman;Times;serif" w:hAnsi="Times New Roman;Times;serif"/>
          <w:sz w:val="20"/>
          <w:u w:val="single"/>
        </w:rPr>
        <w:t>provided</w:t>
      </w:r>
      <w:r>
        <w:rPr>
          <w:rFonts w:ascii="Times New Roman;Times;serif" w:hAnsi="Times New Roman;Times;serif"/>
          <w:sz w:val="20"/>
        </w:rPr>
        <w:t xml:space="preserve"> that Executive has attained at least age 55 with at least 10 years of service with the Company or any predecessor or successor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Notice of Termination</w:t>
      </w:r>
      <w:r>
        <w:rPr>
          <w:rFonts w:ascii="Times New Roman;Times;serif" w:hAnsi="Times New Roman;Times;serif"/>
          <w:sz w:val="20"/>
        </w:rPr>
        <w:t>.  Any termination of Executive’s employment by the Company with or without Cause, or by Executive with or without Good Reason or due to Retirement, shall be communicated by Notice of Termination to the other party hereto given in accordance with Section 11(b). For purposes of this Agreement, a “</w:t>
      </w:r>
      <w:r>
        <w:rPr>
          <w:rFonts w:ascii="Times New Roman;Times;serif" w:hAnsi="Times New Roman;Times;serif"/>
          <w:b/>
          <w:sz w:val="20"/>
        </w:rPr>
        <w:t>Notice of Termination</w:t>
      </w:r>
      <w:r>
        <w:rPr>
          <w:rFonts w:ascii="Times New Roman;Times;serif" w:hAnsi="Times New Roman;Times;serif"/>
          <w:sz w:val="20"/>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Date of Termination</w:t>
      </w:r>
      <w:r>
        <w:rPr>
          <w:rFonts w:ascii="Times New Roman;Times;serif" w:hAnsi="Times New Roman;Times;serif"/>
          <w:sz w:val="20"/>
        </w:rPr>
        <w:t>.  “</w:t>
      </w:r>
      <w:r>
        <w:rPr>
          <w:rFonts w:ascii="Times New Roman;Times;serif" w:hAnsi="Times New Roman;Times;serif"/>
          <w:b/>
          <w:sz w:val="20"/>
        </w:rPr>
        <w:t>Date of Termination</w:t>
      </w:r>
      <w:r>
        <w:rPr>
          <w:rFonts w:ascii="Times New Roman;Times;serif" w:hAnsi="Times New Roman;Times;serif"/>
          <w:sz w:val="20"/>
        </w:rPr>
        <w:t>” means (i) if Executive’s employment is 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Times New Roman;Times;serif" w:hAnsi="Times New Roman;Times;serif"/>
          <w:sz w:val="15"/>
        </w:rPr>
        <w:t>th</w:t>
      </w:r>
      <w:r>
        <w:rPr>
          <w:rFonts w:ascii="Times New Roman;Times;serif" w:hAnsi="Times New Roman;Times;serif"/>
          <w:sz w:val="20"/>
        </w:rPr>
        <w:t xml:space="preserve"> day following receipt of the Notice of Termination or any later date specified therein or (iii) if Executive’s employment is terminated by reason of death or Disability, the Date of Termination shall be the date of death of Executive or the Disability Effective Date,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Obligations of the Company upon 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Good Reason; Other Than for Cause, Death or Disability</w:t>
      </w:r>
      <w:r>
        <w:rPr>
          <w:rFonts w:ascii="Times New Roman;Times;serif" w:hAnsi="Times New Roman;Times;serif"/>
          <w:sz w:val="20"/>
        </w:rPr>
        <w:t>.  If, during the Employment Period, the Company terminates Executive’s employment other than for Cause, death or Disability, or Executive terminates employment for Good Reason, then, in each case,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subject to Executive’s execution within 50 days following the Date of Termination, and non-revocation, of a release of claims in the form attached as </w:t>
      </w:r>
      <w:r>
        <w:rPr>
          <w:rFonts w:ascii="Times New Roman;Times;serif" w:hAnsi="Times New Roman;Times;serif"/>
          <w:b/>
          <w:sz w:val="20"/>
        </w:rPr>
        <w:t>Exhibit A</w:t>
      </w:r>
      <w:r>
        <w:rPr>
          <w:rFonts w:ascii="Times New Roman;Times;serif" w:hAnsi="Times New Roman;Times;serif"/>
          <w:sz w:val="20"/>
        </w:rPr>
        <w:t xml:space="preserve"> (the “</w:t>
      </w:r>
      <w:r>
        <w:rPr>
          <w:rFonts w:ascii="Times New Roman;Times;serif" w:hAnsi="Times New Roman;Times;serif"/>
          <w:b/>
          <w:sz w:val="20"/>
        </w:rPr>
        <w:t>Release</w:t>
      </w:r>
      <w:r>
        <w:rPr>
          <w:rFonts w:ascii="Times New Roman;Times;serif" w:hAnsi="Times New Roman;Times;serif"/>
          <w:sz w:val="20"/>
        </w:rPr>
        <w:t>”), the Company and its Affiliates shall pay to Executive the following: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(i)the sum of (A) the portion of the Annual Base Salary due for the period through the Date of Termination to the extent not theretofore paid, (B) any accrued but 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Times New Roman;Times;serif" w:hAnsi="Times New Roman;Times;serif"/>
          <w:b/>
          <w:sz w:val="20"/>
        </w:rPr>
        <w:t>Accrued Obligations</w:t>
      </w:r>
      <w:r>
        <w:rPr>
          <w:rFonts w:ascii="Times New Roman;Times;serif" w:hAnsi="Times New Roman;Times;serif"/>
          <w:sz w:val="20"/>
        </w:rPr>
        <w:t>”), which Accrued Obligations shall be paid in a lump sum in cash within 60 days following the Date of Termination;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(ii)any unpaid Annual Bonus earned by Executive in respect of the fiscal year of the Company that was completed on or prior to the Date of Termination (the “</w:t>
      </w:r>
      <w:r>
        <w:rPr>
          <w:rFonts w:ascii="Times New Roman;Times;serif" w:hAnsi="Times New Roman;Times;serif"/>
          <w:b/>
          <w:sz w:val="20"/>
        </w:rPr>
        <w:t>Unpaid Annual Bonus</w:t>
      </w:r>
      <w:r>
        <w:rPr>
          <w:rFonts w:ascii="Times New Roman;Times;serif" w:hAnsi="Times New Roman;Times;serif"/>
          <w:sz w:val="20"/>
        </w:rPr>
        <w:t>”), which Unpaid Annual Bonus shall be paid in a lump sum in cash no later than March 15 following the year in which it was earned;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Times New Roman;Times;serif" w:hAnsi="Times New Roman;Times;serif"/>
          <w:b/>
          <w:sz w:val="20"/>
        </w:rPr>
        <w:t>Prorated Annual Bonus</w:t>
      </w:r>
      <w:r>
        <w:rPr>
          <w:rFonts w:ascii="Times New Roman;Times;serif" w:hAnsi="Times New Roman;Times;serif"/>
          <w:sz w:val="20"/>
        </w:rPr>
        <w:t xml:space="preserve">”), which Prorated Annual Bonus shall be paid in a lump sum in cash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(iv)an amount equal to the product of (A) the Severance Multiple (as defined below) </w:t>
      </w:r>
      <w:r>
        <w:rPr>
          <w:rFonts w:ascii="Times New Roman;Times;serif" w:hAnsi="Times New Roman;Times;serif"/>
          <w:i/>
          <w:sz w:val="20"/>
        </w:rPr>
        <w:t>multiplied by</w:t>
      </w:r>
      <w:r>
        <w:rPr>
          <w:rFonts w:ascii="Times New Roman;Times;serif" w:hAnsi="Times New Roman;Times;serif"/>
          <w:sz w:val="20"/>
        </w:rPr>
        <w:t xml:space="preserve"> (B) the sum of (x) the Annual Base Salary and (y) the target Annual Bonus opportunity as in effect for the fiscal year of the Company in which the Date of Termination occurs, which amount shall be paid in a lump sum in cash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(v)a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Times New Roman;Times;serif" w:hAnsi="Times New Roman;Times;serif"/>
          <w:sz w:val="20"/>
          <w:u w:val="single"/>
        </w:rPr>
        <w:t>provided</w:t>
      </w:r>
      <w:r>
        <w:rPr>
          <w:rFonts w:ascii="Times New Roman;Times;serif" w:hAnsi="Times New Roman;Times;serif"/>
          <w:sz w:val="20"/>
        </w:rPr>
        <w:t xml:space="preserve"> that if the period for consideration and revocation of the Release spans two calendar years, then the payment shall be made no sooner than the first regularly scheduled payroll date in the second calendar year;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(vi)to the extent not theretofore paid or provided, the Company and its Affiliates shall timely pay or provide to Executive, in accordance with the terms of the applicable plan, program, policy, practice or contract, any other amounts or benefits required to be paid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provided, or that Executive is eligible to receive under any plan, program, policy, practice or contract of the Company or its Affiliates, through the Date of Termination (such other amounts and benefits shall be hereinafter referred to as the “</w:t>
      </w:r>
      <w:r>
        <w:rPr>
          <w:rFonts w:ascii="Times New Roman;Times;serif" w:hAnsi="Times New Roman;Times;serif"/>
          <w:b/>
          <w:sz w:val="20"/>
        </w:rPr>
        <w:t>Other Benefits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Agreement, “</w:t>
      </w:r>
      <w:r>
        <w:rPr>
          <w:rFonts w:ascii="Times New Roman;Times;serif" w:hAnsi="Times New Roman;Times;serif"/>
          <w:b/>
          <w:sz w:val="20"/>
        </w:rPr>
        <w:t>Severance Multiple</w:t>
      </w:r>
      <w:r>
        <w:rPr>
          <w:rFonts w:ascii="Times New Roman;Times;serif" w:hAnsi="Times New Roman;Times;serif"/>
          <w:sz w:val="20"/>
        </w:rPr>
        <w:t>” shall mean one, unless a termination contemplated by this Section 5(a) occurs within one year following a Change in Control (as defined in the Westrock Coffee Company 2022 Equity Incentive Plan, as in effect on the Effective Date), in which case it shall mean two.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Death; Disability; Retirement</w:t>
      </w:r>
      <w:r>
        <w:rPr>
          <w:rFonts w:ascii="Times New Roman;Times;serif" w:hAnsi="Times New Roman;Times;serif"/>
          <w:sz w:val="20"/>
        </w:rPr>
        <w:t>.  If Executive’s employment is terminated by reason of 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Other Termination</w:t>
      </w:r>
      <w:r>
        <w:rPr>
          <w:rFonts w:ascii="Times New Roman;Times;serif" w:hAnsi="Times New Roman;Times;serif"/>
          <w:sz w:val="20"/>
        </w:rPr>
        <w:t>.  If Executive’s employment is terminated during the Employment 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Full Settlement</w:t>
      </w:r>
      <w:r>
        <w:rPr>
          <w:rFonts w:ascii="Times New Roman;Times;serif" w:hAnsi="Times New Roman;Times;serif"/>
          <w:sz w:val="20"/>
        </w:rPr>
        <w:t>.  The payments and benefits provided under this Section 5 shall be in full satisfaction of the obligations of the Company and its Affiliates to Executive under this Agreement and any other plan, agreement, policy or arrangement of the Company and its Affiliates upon Executive’s termination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No Mitigation</w:t>
      </w:r>
      <w:r>
        <w:rPr>
          <w:rFonts w:ascii="Times New Roman;Times;serif" w:hAnsi="Times New Roman;Times;serif"/>
          <w:sz w:val="20"/>
        </w:rPr>
        <w:t>.  In no event shall Executive be obligated to seek other employment or take any other action by way of mitigation of any amounts payable to Executive under Section 5 and such amounts shall not be reduced whether or not Executive obtains other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Restrictive Covenants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Confidential Information</w:t>
      </w:r>
      <w:r>
        <w:rPr>
          <w:rFonts w:ascii="Times New Roman;Times;serif" w:hAnsi="Times New Roman;Times;serif"/>
          <w:sz w:val="20"/>
        </w:rPr>
        <w:t>.  Executive shall hold in a fiduciary capacity for the benefit of the Company all secret or confidential information, knowledge or data relating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Times New Roman;Times;serif" w:hAnsi="Times New Roman;Times;serif"/>
          <w:b/>
          <w:sz w:val="20"/>
        </w:rPr>
        <w:t>Confidential Information</w:t>
      </w:r>
      <w:r>
        <w:rPr>
          <w:rFonts w:ascii="Times New Roman;Times;serif" w:hAnsi="Times New Roman;Times;serif"/>
          <w:sz w:val="20"/>
        </w:rPr>
        <w:t>”). After termination of Executive’s employment with the Company, Executive shall not, without the prior 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Inventions and Patents</w:t>
      </w:r>
      <w:r>
        <w:rPr>
          <w:rFonts w:ascii="Times New Roman;Times;serif" w:hAnsi="Times New Roman;Times;serif"/>
          <w:sz w:val="20"/>
        </w:rPr>
        <w:t>.  Executive agrees that all inventions, innovations, improvements, 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Times New Roman;Times;serif" w:hAnsi="Times New Roman;Times;serif"/>
          <w:b/>
          <w:sz w:val="20"/>
        </w:rPr>
        <w:t>Work Product</w:t>
      </w:r>
      <w:r>
        <w:rPr>
          <w:rFonts w:ascii="Times New Roman;Times;serif" w:hAnsi="Times New Roman;Times;serif"/>
          <w:sz w:val="20"/>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Nonsolicitation</w:t>
      </w:r>
      <w:r>
        <w:rPr>
          <w:rFonts w:ascii="Times New Roman;Times;serif" w:hAnsi="Times New Roman;Times;serif"/>
          <w:sz w:val="20"/>
        </w:rPr>
        <w:t>.  During the period commencing on the Effective Date and ending on the first anniversary of the Date of Termination (the “</w:t>
      </w:r>
      <w:r>
        <w:rPr>
          <w:rFonts w:ascii="Times New Roman;Times;serif" w:hAnsi="Times New Roman;Times;serif"/>
          <w:b/>
          <w:sz w:val="20"/>
        </w:rPr>
        <w:t>Restricted Period</w:t>
      </w:r>
      <w:r>
        <w:rPr>
          <w:rFonts w:ascii="Times New Roman;Times;serif" w:hAnsi="Times New Roman;Times;serif"/>
          <w:sz w:val="20"/>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Noncompetition</w:t>
      </w:r>
      <w:r>
        <w:rPr>
          <w:rFonts w:ascii="Times New Roman;Times;serif" w:hAnsi="Times New Roman;Times;serif"/>
          <w:sz w:val="20"/>
        </w:rPr>
        <w:t xml:space="preserve">.  Executive acknowledges that, in the course of Executive’s employment with the Company, Executive has become familiar, or shall become familiar, with the Company’s and its Affiliates’ trade secrets and with other Confidential Information concerning the Company, its Affiliates and their respective predecessors, and that 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Times New Roman;Times;serif" w:hAnsi="Times New Roman;Times;serif"/>
          <w:i/>
          <w:sz w:val="20"/>
        </w:rPr>
        <w:t>de minimis</w:t>
      </w:r>
      <w:r>
        <w:rPr>
          <w:rFonts w:ascii="Times New Roman;Times;serif" w:hAnsi="Times New Roman;Times;serif"/>
          <w:sz w:val="20"/>
        </w:rPr>
        <w:t xml:space="preserve"> activities) at any time during the one-year period ending with the Date of Termination, in any locale of 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Nondisparagement</w:t>
      </w:r>
      <w:r>
        <w:rPr>
          <w:rFonts w:ascii="Times New Roman;Times;serif" w:hAnsi="Times New Roman;Times;serif"/>
          <w:sz w:val="20"/>
        </w:rPr>
        <w:t xml:space="preserve">.  From and following the Effective Date: (i) Executive shall not make, 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Return of Property</w:t>
      </w:r>
      <w:r>
        <w:rPr>
          <w:rFonts w:ascii="Times New Roman;Times;serif" w:hAnsi="Times New Roman;Times;serif"/>
          <w:sz w:val="20"/>
        </w:rPr>
        <w:t>.  Executive acknowledges that all documents, records, files, lists, 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Trade Secrets; Whistleblower Rights</w:t>
      </w:r>
      <w:r>
        <w:rPr>
          <w:rFonts w:ascii="Times New Roman;Times;serif" w:hAnsi="Times New Roman;Times;serif"/>
          <w:sz w:val="20"/>
        </w:rPr>
        <w:t>.  The Company hereby informs Executive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Executive Covenants Generally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(i)Executive’s covenants as set forth in this Section 7 are from time to time referred to herein as the “</w:t>
      </w:r>
      <w:r>
        <w:rPr>
          <w:rFonts w:ascii="Times New Roman;Times;serif" w:hAnsi="Times New Roman;Times;serif"/>
          <w:b/>
          <w:sz w:val="20"/>
        </w:rPr>
        <w:t>Executive Covenants</w:t>
      </w:r>
      <w:r>
        <w:rPr>
          <w:rFonts w:ascii="Times New Roman;Times;serif" w:hAnsi="Times New Roman;Times;serif"/>
          <w:sz w:val="20"/>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(iv)Any termination of (A) Executive’s employment, (B) the Employment Period or (C) this Agreement shall have no effect on the continuing operation of this Section 7.</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 deemed automatically extended by) any period during which Executive is in violation of the provisions of Section 7(c) or (d),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Treatment of Certain Payments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event that any payments or benefits under this Agreement or otherwise, either alone or together with other payments or benefits that Executive receives or is entitled to receive from the Company or any of its Affiliates (“</w:t>
      </w:r>
      <w:r>
        <w:rPr>
          <w:rFonts w:ascii="Times New Roman;Times;serif" w:hAnsi="Times New Roman;Times;serif"/>
          <w:b/>
          <w:sz w:val="20"/>
        </w:rPr>
        <w:t>Payments</w:t>
      </w:r>
      <w:r>
        <w:rPr>
          <w:rFonts w:ascii="Times New Roman;Times;serif" w:hAnsi="Times New Roman;Times;serif"/>
          <w:sz w:val="20"/>
        </w:rPr>
        <w:t>”) would subject Executive to the excise tax under Section 4999 of the Code, the Accounting Firm (as defined below) shall determine whether to reduce any of the Payments paid or payable pursuant to this Agreement (the “</w:t>
      </w:r>
      <w:r>
        <w:rPr>
          <w:rFonts w:ascii="Times New Roman;Times;serif" w:hAnsi="Times New Roman;Times;serif"/>
          <w:b/>
          <w:sz w:val="20"/>
        </w:rPr>
        <w:t>Agreement Payments</w:t>
      </w:r>
      <w:r>
        <w:rPr>
          <w:rFonts w:ascii="Times New Roman;Times;serif" w:hAnsi="Times New Roman;Times;serif"/>
          <w:sz w:val="20"/>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Times;serif" w:hAnsi="Times New Roman;Times;serif"/>
          <w:b/>
          <w:sz w:val="20"/>
        </w:rPr>
        <w:t>24(c)</w:t>
      </w:r>
      <w:r>
        <w:rPr>
          <w:rFonts w:ascii="Times New Roman;Times;serif" w:hAnsi="Times New Roman;Times;serif"/>
          <w:sz w:val="20"/>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r>
        <w:rPr>
          <w:rFonts w:ascii="Times New Roman;Times;serif" w:hAnsi="Times New Roman;Times;serif"/>
          <w:b/>
          <w:sz w:val="20"/>
        </w:rPr>
        <w:t>Overpayment</w:t>
      </w:r>
      <w:r>
        <w:rPr>
          <w:rFonts w:ascii="Times New Roman;Times;serif" w:hAnsi="Times New Roman;Times;serif"/>
          <w:sz w:val="20"/>
        </w:rPr>
        <w:t>”) or that additional amounts that shall have not been paid or distributed by the Company to or for the benefit of Executive pursuant to this Agreement could have been so paid or distributed (each, an “</w:t>
      </w:r>
      <w:r>
        <w:rPr>
          <w:rFonts w:ascii="Times New Roman;Times;serif" w:hAnsi="Times New Roman;Times;serif"/>
          <w:b/>
          <w:sz w:val="20"/>
        </w:rPr>
        <w:t>Underpayment</w:t>
      </w:r>
      <w:r>
        <w:rPr>
          <w:rFonts w:ascii="Times New Roman;Times;serif" w:hAnsi="Times New Roman;Times;serif"/>
          <w:sz w:val="20"/>
        </w:rPr>
        <w:t xml:space="preserve">”), in each case, consistent with the calculation of the Reduced Amount hereunder. In the event that the Accounting Firm, based upon the assertion of a 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following terms shall have the following meanings for purposes of this Section 8:</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Accounting Firm</w:t>
      </w:r>
      <w:r>
        <w:rPr>
          <w:rFonts w:ascii="Times New Roman;Times;serif" w:hAnsi="Times New Roman;Times;serif"/>
          <w:sz w:val="20"/>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Net After-Tax Receipt</w:t>
      </w:r>
      <w:r>
        <w:rPr>
          <w:rFonts w:ascii="Times New Roman;Times;serif" w:hAnsi="Times New Roman;Times;serif"/>
          <w:sz w:val="20"/>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Parachute Value</w:t>
      </w:r>
      <w:r>
        <w:rPr>
          <w:rFonts w:ascii="Times New Roman;Times;serif" w:hAnsi="Times New Roman;Times;serif"/>
          <w:sz w:val="20"/>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shall apply to such Payment.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b/>
          <w:sz w:val="20"/>
        </w:rPr>
        <w:t>Safe Harbor Amount</w:t>
      </w:r>
      <w:r>
        <w:rPr>
          <w:rFonts w:ascii="Times New Roman;Times;serif" w:hAnsi="Times New Roman;Times;serif"/>
          <w:sz w:val="20"/>
        </w:rPr>
        <w:t>” shall mean 2.99 times Executive’s “base amount,” within the meaning of Section 280G(b)(3)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Successors</w:t>
      </w:r>
      <w:r>
        <w:rPr>
          <w:rFonts w:ascii="Times New Roman;Times;serif" w:hAnsi="Times New Roman;Times;serif"/>
          <w:sz w:val="20"/>
        </w:rPr>
        <w:t>.  This Agreement is personal to Executive and without the prior written consent 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Indemnification</w:t>
      </w:r>
      <w:r>
        <w:rPr>
          <w:rFonts w:ascii="Times New Roman;Times;serif" w:hAnsi="Times New Roman;Times;serif"/>
          <w:sz w:val="20"/>
        </w:rPr>
        <w:t xml:space="preserve">.  The Company shall indemnify Executive and hold him harmless to the 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Governing Law and Dispute Resolution</w:t>
      </w:r>
      <w:r>
        <w:rPr>
          <w:rFonts w:ascii="Times New Roman;Times;serif" w:hAnsi="Times New Roman;Times;serif"/>
          <w:sz w:val="20"/>
        </w:rPr>
        <w:t xml:space="preserve">.  This Agreement shall be governed by and construed in accordance with the laws of the State of Arkansas, without reference to principles of conflict of laws, </w:t>
      </w:r>
      <w:r>
        <w:rPr>
          <w:rFonts w:ascii="Times New Roman;Times;serif" w:hAnsi="Times New Roman;Times;serif"/>
          <w:sz w:val="20"/>
          <w:u w:val="single"/>
        </w:rPr>
        <w:t>provided</w:t>
      </w:r>
      <w:r>
        <w:rPr>
          <w:rFonts w:ascii="Times New Roman;Times;serif" w:hAnsi="Times New Roman;Times;serif"/>
          <w:sz w:val="20"/>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Notices</w:t>
      </w:r>
      <w:r>
        <w:rPr>
          <w:rFonts w:ascii="Times New Roman;Times;serif" w:hAnsi="Times New Roman;Times;serif"/>
          <w:sz w:val="20"/>
        </w:rPr>
        <w:t>.  All notices and other communications hereunder shall be in writing and shall be given by hand delivery to the other party or by registered or certified mail, return receipt requested, postage prepaid, addressed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If to Executive</w:t>
      </w:r>
      <w:r>
        <w:rPr>
          <w:rFonts w:ascii="Times New Roman;Times;serif" w:hAnsi="Times New Roman;Times;serif"/>
          <w:sz w:val="20"/>
        </w:rPr>
        <w:t>:  To the most recent address on file with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If to the Company</w:t>
      </w:r>
      <w:r>
        <w:rPr>
          <w:rFonts w:ascii="Times New Roman;Times;serif" w:hAnsi="Times New Roman;Times;serif"/>
          <w:sz w:val="20"/>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Westrock Coffee Company</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4009 N. Rodney Parham Road</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Little Rock, AR 72212</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Attn: Chief Legal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address as either party shall have furnished to the other in writing in accordance herewith. Notice and communications shall be effective when actually received by the addressee.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Acknowledgements</w:t>
      </w:r>
      <w:r>
        <w:rPr>
          <w:rFonts w:ascii="Times New Roman;Times;serif" w:hAnsi="Times New Roman;Times;serif"/>
          <w:sz w:val="20"/>
        </w:rPr>
        <w:t>.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Invalidity</w:t>
      </w:r>
      <w:r>
        <w:rPr>
          <w:rFonts w:ascii="Times New Roman;Times;serif" w:hAnsi="Times New Roman;Times;serif"/>
          <w:sz w:val="20"/>
        </w:rPr>
        <w:t>.  If any term or provision of this Agreement or the application thereof to any 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Survivability</w:t>
      </w:r>
      <w:r>
        <w:rPr>
          <w:rFonts w:ascii="Times New Roman;Times;serif" w:hAnsi="Times New Roman;Times;serif"/>
          <w:sz w:val="20"/>
        </w:rPr>
        <w:t>.  The provisions of this Agreement that by their terms call for performance subsequent to the termination of either Executive’s employment or this Agreement (including the terms of Sections 5, 7, 8 and 10) shall so survive such 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Section Headings; Construction</w:t>
      </w:r>
      <w:r>
        <w:rPr>
          <w:rFonts w:ascii="Times New Roman;Times;serif" w:hAnsi="Times New Roman;Times;serif"/>
          <w:sz w:val="20"/>
        </w:rPr>
        <w:t>.  The section headings used in this Agreement are included solely for convenience and shall not affect, or be used in connection with, the interpretation hereof. For purposes of this Agreement, the term “including” shall mean “including,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Counterparts</w:t>
      </w:r>
      <w:r>
        <w:rPr>
          <w:rFonts w:ascii="Times New Roman;Times;serif" w:hAnsi="Times New Roman;Times;serif"/>
          <w:sz w:val="20"/>
        </w:rPr>
        <w:t>.  This Agreement may be executed in several counterparts, each of which shall be deemed to be an original but all of which together shall constitute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Tax Withholding</w:t>
      </w:r>
      <w:r>
        <w:rPr>
          <w:rFonts w:ascii="Times New Roman;Times;serif" w:hAnsi="Times New Roman;Times;serif"/>
          <w:sz w:val="20"/>
        </w:rPr>
        <w:t>.  The Company may withhold from any amounts payable under this Agreement such Federal, state, local or foreign taxes as shall be required to be withheld pursuant to any applicable law or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Section 409A</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General</w:t>
      </w:r>
      <w:r>
        <w:rPr>
          <w:rFonts w:ascii="Times New Roman;Times;serif" w:hAnsi="Times New Roman;Times;serif"/>
          <w:sz w:val="20"/>
        </w:rPr>
        <w:t>.  It is intended that payments and benefits made or provided under this 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Reimbursements and In-Kind Benefits</w:t>
      </w:r>
      <w:r>
        <w:rPr>
          <w:rFonts w:ascii="Times New Roman;Times;serif" w:hAnsi="Times New Roman;Times;serif"/>
          <w:sz w:val="20"/>
        </w:rPr>
        <w:t>.  Notwithstanding anything to the 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Delay of Payments</w:t>
      </w:r>
      <w:r>
        <w:rPr>
          <w:rFonts w:ascii="Times New Roman;Times;serif" w:hAnsi="Times New Roman;Times;serif"/>
          <w:sz w:val="20"/>
        </w:rPr>
        <w:t>.  Notwithstanding any other provision of this Agreement to the 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is otherwise due to Executive under this Agreement during the six-month period immediately following Executive’s separation from service (as determined in accordance with Section 409A of the Code) on account of Executive’s separation from service shall be accumulated and paid to Executive on the first business day of the seventh month following Executive’s separation from service (the “</w:t>
      </w:r>
      <w:r>
        <w:rPr>
          <w:rFonts w:ascii="Times New Roman;Times;serif" w:hAnsi="Times New Roman;Times;serif"/>
          <w:b/>
          <w:sz w:val="20"/>
        </w:rPr>
        <w:t>Delayed Payment Date</w:t>
      </w:r>
      <w:r>
        <w:rPr>
          <w:rFonts w:ascii="Times New Roman;Times;serif" w:hAnsi="Times New Roman;Times;serif"/>
          <w:sz w:val="20"/>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Amendments</w:t>
      </w:r>
      <w:r>
        <w:rPr>
          <w:rFonts w:ascii="Times New Roman;Times;serif" w:hAnsi="Times New Roman;Times;serif"/>
          <w:sz w:val="20"/>
        </w:rPr>
        <w:t>.  No provision of this Agreement shall be modified or amended except by an 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Entire Agreement</w:t>
      </w:r>
      <w:r>
        <w:rPr>
          <w:rFonts w:ascii="Times New Roman;Times;serif" w:hAnsi="Times New Roman;Times;serif"/>
          <w:sz w:val="20"/>
        </w:rPr>
        <w:t>.  This Agreement constitutes the entire agreement of the Parties hereto in respect of the terms and conditions of Executive’s employment with the Company and its Affiliates, including Executive’s severance entitlements, and, as of the Effective Date, supersedes and cancels in their entirety all prior understandings, agreements and commitments (including the Prior Agreement),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each of Executive and the Company have caused this Agreement to be duly executed and delivered, effective as of the Effective Date.</w:t>
      </w:r>
    </w:p>
    <w:tbl>
      <w:tblPr>
        <w:tblW w:w="5241" w:type="dxa"/>
        <w:jc w:val="left"/>
        <w:tblInd w:w="0" w:type="dxa"/>
        <w:tblLayout w:type="fixed"/>
        <w:tblCellMar>
          <w:top w:w="0" w:type="dxa"/>
          <w:left w:w="0" w:type="dxa"/>
          <w:bottom w:w="0" w:type="dxa"/>
          <w:right w:w="0" w:type="dxa"/>
        </w:tblCellMar>
      </w:tblPr>
      <w:tblGrid>
        <w:gridCol w:w="124"/>
        <w:gridCol w:w="406"/>
        <w:gridCol w:w="4711"/>
      </w:tblGrid>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Samuel Ford</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Samuel Ford</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24" w:type="dxa"/>
            <w:tcBorders/>
            <w:vAlign w:val="center"/>
          </w:tcPr>
          <w:p>
            <w:pPr>
              <w:pStyle w:val="TableContents"/>
              <w:bidi w:val="0"/>
              <w:spacing w:before="0" w:after="0"/>
              <w:ind w:left="0" w:right="0" w:hanging="0"/>
              <w:jc w:val="left"/>
              <w:rPr/>
            </w:pPr>
            <w:r>
              <w:rPr/>
              <w:t>​</w:t>
            </w:r>
          </w:p>
        </w:tc>
        <w:tc>
          <w:tcPr>
            <w:tcW w:w="51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Employment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RELEASE OF CLAIMS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THIS GENERAL RELEASE OF CLAIMS</w:t>
      </w:r>
      <w:r>
        <w:rPr>
          <w:rFonts w:ascii="Times New Roman;Times;serif" w:hAnsi="Times New Roman;Times;serif"/>
          <w:sz w:val="20"/>
        </w:rPr>
        <w:t xml:space="preserve"> (this “</w:t>
      </w:r>
      <w:r>
        <w:rPr>
          <w:rFonts w:ascii="Times New Roman;Times;serif" w:hAnsi="Times New Roman;Times;serif"/>
          <w:b/>
          <w:sz w:val="20"/>
        </w:rPr>
        <w:t>Release</w:t>
      </w:r>
      <w:r>
        <w:rPr>
          <w:rFonts w:ascii="Times New Roman;Times;serif" w:hAnsi="Times New Roman;Times;serif"/>
          <w:sz w:val="20"/>
        </w:rPr>
        <w:t>”) is executed by Samuel Ford (“</w:t>
      </w:r>
      <w:r>
        <w:rPr>
          <w:rFonts w:ascii="Times New Roman;Times;serif" w:hAnsi="Times New Roman;Times;serif"/>
          <w:b/>
          <w:sz w:val="20"/>
        </w:rPr>
        <w:t>Executive</w:t>
      </w:r>
      <w:r>
        <w:rPr>
          <w:rFonts w:ascii="Times New Roman;Times;serif" w:hAnsi="Times New Roman;Times;serif"/>
          <w:sz w:val="20"/>
        </w:rPr>
        <w:t>”) as of the date set forth on the signature page hereto. For purposes of this Release, reference is made to the Employment Agreement between Westrock Coffee Company (the “</w:t>
      </w:r>
      <w:r>
        <w:rPr>
          <w:rFonts w:ascii="Times New Roman;Times;serif" w:hAnsi="Times New Roman;Times;serif"/>
          <w:b/>
          <w:sz w:val="20"/>
        </w:rPr>
        <w:t>Company</w:t>
      </w:r>
      <w:r>
        <w:rPr>
          <w:rFonts w:ascii="Times New Roman;Times;serif" w:hAnsi="Times New Roman;Times;serif"/>
          <w:sz w:val="20"/>
        </w:rPr>
        <w:t>”) and Executive, dated as of August 5, 2026 (the “</w:t>
      </w:r>
      <w:r>
        <w:rPr>
          <w:rFonts w:ascii="Times New Roman;Times;serif" w:hAnsi="Times New Roman;Times;serif"/>
          <w:b/>
          <w:sz w:val="20"/>
        </w:rPr>
        <w:t>Employment Agreement</w:t>
      </w:r>
      <w:r>
        <w:rPr>
          <w:rFonts w:ascii="Times New Roman;Times;serif" w:hAnsi="Times New Roman;Times;serif"/>
          <w:sz w:val="20"/>
        </w:rPr>
        <w:t>”). Terms that are capitalized but not defined herein shall have the meanings set forth in the Employment Agreement.</w:t>
      </w:r>
    </w:p>
    <w:tbl>
      <w:tblPr>
        <w:tblW w:w="3543" w:type="dxa"/>
        <w:jc w:val="left"/>
        <w:tblInd w:w="0" w:type="dxa"/>
        <w:tblLayout w:type="fixed"/>
        <w:tblCellMar>
          <w:top w:w="0" w:type="dxa"/>
          <w:left w:w="0" w:type="dxa"/>
          <w:bottom w:w="0" w:type="dxa"/>
          <w:right w:w="0" w:type="dxa"/>
        </w:tblCellMar>
      </w:tblPr>
      <w:tblGrid>
        <w:gridCol w:w="23"/>
        <w:gridCol w:w="170"/>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3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General Release and Waiver of Claims</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Release</w:t>
      </w:r>
      <w:r>
        <w:rPr>
          <w:rFonts w:ascii="Times New Roman;Times;serif" w:hAnsi="Times New Roman;Times;serif"/>
          <w:sz w:val="20"/>
        </w:rPr>
        <w:t>.  In consideration of the payments and benefits afforded under the Employment Agreement, and after consultation with counsel, Executive and each of Executive’s respective heirs, executors, administrators, representatives, agents, successors and assigns (collectively, the “</w:t>
      </w:r>
      <w:r>
        <w:rPr>
          <w:rFonts w:ascii="Times New Roman;Times;serif" w:hAnsi="Times New Roman;Times;serif"/>
          <w:b/>
          <w:sz w:val="20"/>
        </w:rPr>
        <w:t>Releasors</w:t>
      </w:r>
      <w:r>
        <w:rPr>
          <w:rFonts w:ascii="Times New Roman;Times;serif" w:hAnsi="Times New Roman;Times;serif"/>
          <w:sz w:val="20"/>
        </w:rPr>
        <w:t>”) hereby irrevocably and unconditionally release and forever discharge the Company and its Affiliates and each of its officers, employees, directors and agents (“</w:t>
      </w:r>
      <w:r>
        <w:rPr>
          <w:rFonts w:ascii="Times New Roman;Times;serif" w:hAnsi="Times New Roman;Times;serif"/>
          <w:b/>
          <w:sz w:val="20"/>
        </w:rPr>
        <w:t>Releasees</w:t>
      </w:r>
      <w:r>
        <w:rPr>
          <w:rFonts w:ascii="Times New Roman;Times;serif" w:hAnsi="Times New Roman;Times;serif"/>
          <w:sz w:val="20"/>
        </w:rPr>
        <w:t>”) from any and all claims, actions, causes of action, rights, judgments, obligations, damages, demands, accountings or liabilities of whatever kind or character (collectively, “</w:t>
      </w:r>
      <w:r>
        <w:rPr>
          <w:rFonts w:ascii="Times New Roman;Times;serif" w:hAnsi="Times New Roman;Times;serif"/>
          <w:b/>
          <w:sz w:val="20"/>
        </w:rPr>
        <w:t>Claims</w:t>
      </w:r>
      <w:r>
        <w:rPr>
          <w:rFonts w:ascii="Times New Roman;Times;serif" w:hAnsi="Times New Roman;Times;serif"/>
          <w:sz w:val="20"/>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Exceptions to Release</w:t>
      </w:r>
      <w:r>
        <w:rPr>
          <w:rFonts w:ascii="Times New Roman;Times;serif" w:hAnsi="Times New Roman;Times;serif"/>
          <w:sz w:val="20"/>
        </w:rPr>
        <w:t>.  Notwithstanding anything contained herein to the contrary, this 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Specific Release of ADEA Claims</w:t>
      </w:r>
      <w:r>
        <w:rPr>
          <w:rFonts w:ascii="Times New Roman;Times;serif" w:hAnsi="Times New Roman;Times;serif"/>
          <w:sz w:val="20"/>
        </w:rPr>
        <w:t>.  In further consideration of the payments and benefits 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Times New Roman;Times;serif" w:hAnsi="Times New Roman;Times;serif"/>
          <w:b/>
          <w:sz w:val="20"/>
        </w:rPr>
        <w:t>ADEA</w:t>
      </w:r>
      <w:r>
        <w:rPr>
          <w:rFonts w:ascii="Times New Roman;Times;serif" w:hAnsi="Times New Roman;Times;serif"/>
          <w:sz w:val="20"/>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Times New Roman;Times;serif" w:hAnsi="Times New Roman;Times;serif"/>
          <w:b/>
          <w:sz w:val="20"/>
        </w:rPr>
        <w:t>[twenty-one (21)] [forty-five (45)]</w:t>
      </w:r>
      <w:r>
        <w:rPr>
          <w:rFonts w:ascii="Times New Roman;Times;serif" w:hAnsi="Times New Roman;Times;serif"/>
          <w:sz w:val="20"/>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No Assignment</w:t>
      </w:r>
      <w:r>
        <w:rPr>
          <w:rFonts w:ascii="Times New Roman;Times;serif" w:hAnsi="Times New Roman;Times;serif"/>
          <w:sz w:val="20"/>
        </w:rPr>
        <w:t>.  Executive represents and warrants that Executive has not assigned any of the Claims being released under this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Proceedings</w:t>
      </w:r>
      <w:r>
        <w:rPr>
          <w:rFonts w:ascii="Times New Roman;Times;serif" w:hAnsi="Times New Roman;Times;serif"/>
          <w:sz w:val="20"/>
        </w:rPr>
        <w:t>.  Executive has not filed, and agrees not to initiate or cause to be initiated on Executive’s behalf, any complaint, charge, claim or proceeding against the Releasees with respect to any Claims released under Section 1(a) or (c) before any local, state or federal agency, court or other body (each, individually, a “</w:t>
      </w:r>
      <w:r>
        <w:rPr>
          <w:rFonts w:ascii="Times New Roman;Times;serif" w:hAnsi="Times New Roman;Times;serif"/>
          <w:b/>
          <w:sz w:val="20"/>
        </w:rPr>
        <w:t>Proceeding</w:t>
      </w:r>
      <w:r>
        <w:rPr>
          <w:rFonts w:ascii="Times New Roman;Times;serif" w:hAnsi="Times New Roman;Times;serif"/>
          <w:sz w:val="20"/>
        </w:rPr>
        <w:t xml:space="preserve">”), and agrees not to participate voluntarily in any Proceeding involving such Claims;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Times New Roman;Times;serif" w:hAnsi="Times New Roman;Times;serif"/>
          <w:sz w:val="20"/>
          <w:u w:val="single"/>
        </w:rPr>
        <w:t>provided</w:t>
      </w:r>
      <w:r>
        <w:rPr>
          <w:rFonts w:ascii="Times New Roman;Times;serif" w:hAnsi="Times New Roman;Times;serif"/>
          <w:sz w:val="20"/>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Severability Clause</w:t>
      </w:r>
      <w:r>
        <w:rPr>
          <w:rFonts w:ascii="Times New Roman;Times;serif" w:hAnsi="Times New Roman;Times;serif"/>
          <w:sz w:val="20"/>
        </w:rPr>
        <w:t>.  In the event any provision or part of this Release is found to be invalid or unenforceable, only that particular provision or part so found, and not the entire Release, shall be inoperative.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No Admission</w:t>
      </w:r>
      <w:r>
        <w:rPr>
          <w:rFonts w:ascii="Times New Roman;Times;serif" w:hAnsi="Times New Roman;Times;serif"/>
          <w:sz w:val="20"/>
        </w:rPr>
        <w:t>.  Nothing contained in this Release shall be deemed or construed as an admission of wrongdoing or liability on the part of the Releasees.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Governing Law and Venue</w:t>
      </w:r>
      <w:r>
        <w:rPr>
          <w:rFonts w:ascii="Times New Roman;Times;serif" w:hAnsi="Times New Roman;Times;serif"/>
          <w:sz w:val="20"/>
        </w:rPr>
        <w:t xml:space="preserve">.  All matters affecting this Release, including the validity thereof, are to be governed by, and interpreted and construed in accordance with, the laws of the State of Arkansas applicable to contracts executed in and to be performed in that State, </w:t>
      </w:r>
      <w:r>
        <w:rPr>
          <w:rFonts w:ascii="Times New Roman;Times;serif" w:hAnsi="Times New Roman;Times;serif"/>
          <w:sz w:val="20"/>
          <w:u w:val="single"/>
        </w:rPr>
        <w:t>provided</w:t>
      </w:r>
      <w:r>
        <w:rPr>
          <w:rFonts w:ascii="Times New Roman;Times;serif" w:hAnsi="Times New Roman;Times;serif"/>
          <w:sz w:val="20"/>
        </w:rPr>
        <w:t xml:space="preserve"> that rights to indemnification shall be governed by and in accordance with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Counterparts</w:t>
      </w:r>
      <w:r>
        <w:rPr>
          <w:rFonts w:ascii="Times New Roman;Times;serif" w:hAnsi="Times New Roman;Times;serif"/>
          <w:sz w:val="20"/>
        </w:rPr>
        <w:t>.  This Release may be executed in counterparts and each counterpart shall be deemed an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Notices</w:t>
      </w:r>
      <w:r>
        <w:rPr>
          <w:rFonts w:ascii="Times New Roman;Times;serif" w:hAnsi="Times New Roman;Times;serif"/>
          <w:sz w:val="20"/>
        </w:rPr>
        <w:t>.  All notices, requests, demands or other communications under this Release shall be in writing and shall be deemed to have been duly given when delivered in person or deposited in the United States mail, postage prepaid, by registered or certified mail, return receipt requested, to the party to whom such notice is being given as follows:</w:t>
      </w:r>
    </w:p>
    <w:tbl>
      <w:tblPr>
        <w:tblW w:w="7247" w:type="dxa"/>
        <w:jc w:val="left"/>
        <w:tblInd w:w="0" w:type="dxa"/>
        <w:tblLayout w:type="fixed"/>
        <w:tblCellMar>
          <w:top w:w="0" w:type="dxa"/>
          <w:left w:w="0" w:type="dxa"/>
          <w:bottom w:w="0" w:type="dxa"/>
          <w:right w:w="0" w:type="dxa"/>
        </w:tblCellMar>
      </w:tblPr>
      <w:tblGrid>
        <w:gridCol w:w="1741"/>
        <w:gridCol w:w="550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to Employee:</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Executive’s last address on the books and records of the Company</w:t>
            </w:r>
          </w:p>
        </w:tc>
      </w:tr>
      <w:tr>
        <w:trPr/>
        <w:tc>
          <w:tcPr>
            <w:tcW w:w="1741"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to the Company:</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AS OF DATE OF RELEASE]</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party may change Executive’s address or the name of the person to whose attention the notice or other communication shall be directed from time to time by serving notice thereof upon the other party as provided herein.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Executive has executed this Release on the date set forth below.</w:t>
      </w:r>
    </w:p>
    <w:tbl>
      <w:tblPr>
        <w:tblW w:w="1295" w:type="dxa"/>
        <w:jc w:val="left"/>
        <w:tblInd w:w="0" w:type="dxa"/>
        <w:tblLayout w:type="fixed"/>
        <w:tblCellMar>
          <w:top w:w="0" w:type="dxa"/>
          <w:left w:w="0" w:type="dxa"/>
          <w:bottom w:w="28" w:type="dxa"/>
          <w:right w:w="0" w:type="dxa"/>
        </w:tblCellMar>
      </w:tblPr>
      <w:tblGrid>
        <w:gridCol w:w="1141"/>
        <w:gridCol w:w="154"/>
      </w:tblGrid>
      <w:tr>
        <w:trPr/>
        <w:tc>
          <w:tcPr>
            <w:tcW w:w="1141" w:type="dxa"/>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141" w:type="dxa"/>
            <w:tcBorders>
              <w:top w:val="single" w:sz="2" w:space="0" w:color="000000"/>
            </w:tcBorders>
            <w:tcMar>
              <w:top w:w="28" w:type="dxa"/>
              <w:bottom w:w="0"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Samuel Ford</w:t>
            </w:r>
          </w:p>
        </w:tc>
        <w:tc>
          <w:tcPr>
            <w:tcW w:w="154" w:type="dxa"/>
            <w:tcBorders/>
            <w:tcMar>
              <w:bottom w:w="0" w:type="dxa"/>
            </w:tcMar>
            <w:vAlign w:val="center"/>
          </w:tcPr>
          <w:p>
            <w:pPr>
              <w:pStyle w:val="TableContents"/>
              <w:bidi w:val="0"/>
              <w:spacing w:before="0" w:after="100"/>
              <w:ind w:left="0" w:right="0" w:hanging="0"/>
              <w:jc w:val="left"/>
              <w:rPr/>
            </w:pPr>
            <w:r>
              <w:rPr/>
              <w:t>​</w:t>
            </w:r>
          </w:p>
        </w:tc>
      </w:tr>
      <w:tr>
        <w:trPr/>
        <w:tc>
          <w:tcPr>
            <w:tcW w:w="11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as of:</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34" w:name="west-20260630xex31d1.htm"/>
      <w:bookmarkStart w:id="1635" w:name="kswest20260630xex31d1"/>
      <w:bookmarkEnd w:id="1634"/>
      <w:bookmarkEnd w:id="1635"/>
      <w:r>
        <w:rPr>
          <w:rFonts w:ascii="Times New Roman;Times;serif" w:hAnsi="Times New Roman;Times;serif"/>
          <w:b/>
          <w:sz w:val="20"/>
        </w:rPr>
        <w:t>Exhibit 31.1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Scott T. Ford,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41" w:type="dxa"/>
        <w:jc w:val="left"/>
        <w:tblInd w:w="0" w:type="dxa"/>
        <w:tblLayout w:type="fixed"/>
        <w:tblCellMar>
          <w:top w:w="0" w:type="dxa"/>
          <w:left w:w="0" w:type="dxa"/>
          <w:bottom w:w="0" w:type="dxa"/>
          <w:right w:w="0" w:type="dxa"/>
        </w:tblCellMar>
      </w:tblPr>
      <w:tblGrid>
        <w:gridCol w:w="2041"/>
        <w:gridCol w:w="346"/>
        <w:gridCol w:w="154"/>
      </w:tblGrid>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46" w:type="dxa"/>
            <w:tcBorders/>
            <w:vAlign w:val="center"/>
          </w:tcPr>
          <w:p>
            <w:pPr>
              <w:pStyle w:val="TableContents"/>
              <w:bidi w:val="0"/>
              <w:spacing w:lineRule="auto" w:line="285" w:before="0" w:after="0"/>
              <w:ind w:left="0" w:right="0" w:hanging="0"/>
              <w:jc w:val="left"/>
              <w:rPr/>
            </w:pPr>
            <w:r>
              <w:rPr/>
              <w:t>  ​ ​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36" w:name="west-20260630xex31d2.htm"/>
      <w:bookmarkStart w:id="1637" w:name="kswest20260630xex31d2"/>
      <w:bookmarkEnd w:id="1636"/>
      <w:bookmarkEnd w:id="1637"/>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T. Christopher Pledger,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5181" w:type="dxa"/>
        <w:jc w:val="left"/>
        <w:tblInd w:w="0" w:type="dxa"/>
        <w:tblLayout w:type="fixed"/>
        <w:tblCellMar>
          <w:top w:w="0" w:type="dxa"/>
          <w:left w:w="0" w:type="dxa"/>
          <w:bottom w:w="0" w:type="dxa"/>
          <w:right w:w="0" w:type="dxa"/>
        </w:tblCellMar>
      </w:tblPr>
      <w:tblGrid>
        <w:gridCol w:w="4681"/>
        <w:gridCol w:w="346"/>
        <w:gridCol w:w="154"/>
      </w:tblGrid>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46" w:type="dxa"/>
            <w:tcBorders/>
            <w:vAlign w:val="center"/>
          </w:tcPr>
          <w:p>
            <w:pPr>
              <w:pStyle w:val="TableContents"/>
              <w:bidi w:val="0"/>
              <w:spacing w:lineRule="auto" w:line="285" w:before="0" w:after="0"/>
              <w:ind w:left="0" w:right="0" w:hanging="0"/>
              <w:jc w:val="left"/>
              <w:rPr/>
            </w:pPr>
            <w:r>
              <w:rPr/>
              <w:t>  ​ ​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38" w:name="west-20260630xex32d1.htm"/>
      <w:bookmarkStart w:id="1639" w:name="kswest20260630xex32d1"/>
      <w:bookmarkEnd w:id="1638"/>
      <w:bookmarkEnd w:id="1639"/>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June 30, 2026,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41" w:type="dxa"/>
        <w:jc w:val="left"/>
        <w:tblInd w:w="0" w:type="dxa"/>
        <w:tblLayout w:type="fixed"/>
        <w:tblCellMar>
          <w:top w:w="0" w:type="dxa"/>
          <w:left w:w="0" w:type="dxa"/>
          <w:bottom w:w="0" w:type="dxa"/>
          <w:right w:w="0" w:type="dxa"/>
        </w:tblCellMar>
      </w:tblPr>
      <w:tblGrid>
        <w:gridCol w:w="2041"/>
        <w:gridCol w:w="346"/>
        <w:gridCol w:w="154"/>
      </w:tblGrid>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46" w:type="dxa"/>
            <w:tcBorders/>
            <w:vAlign w:val="center"/>
          </w:tcPr>
          <w:p>
            <w:pPr>
              <w:pStyle w:val="TableContents"/>
              <w:bidi w:val="0"/>
              <w:spacing w:lineRule="auto" w:line="285" w:before="0" w:after="0"/>
              <w:ind w:left="0" w:right="0" w:hanging="0"/>
              <w:jc w:val="left"/>
              <w:rPr/>
            </w:pPr>
            <w:r>
              <w:rPr/>
              <w:t>  ​ ​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40" w:name="west-20260630xex32d2.htm"/>
      <w:bookmarkStart w:id="1641" w:name="kswest20260630xex32d2"/>
      <w:bookmarkEnd w:id="1640"/>
      <w:bookmarkEnd w:id="1641"/>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June 30, 2026, as filed with the Securities and Exchange Commission on the date hereof (the “Report”), I, T. Christopher Pledger, Chief Financial Officer and Chief Administrative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5181" w:type="dxa"/>
        <w:jc w:val="left"/>
        <w:tblInd w:w="0" w:type="dxa"/>
        <w:tblLayout w:type="fixed"/>
        <w:tblCellMar>
          <w:top w:w="0" w:type="dxa"/>
          <w:left w:w="0" w:type="dxa"/>
          <w:bottom w:w="0" w:type="dxa"/>
          <w:right w:w="0" w:type="dxa"/>
        </w:tblCellMar>
      </w:tblPr>
      <w:tblGrid>
        <w:gridCol w:w="4681"/>
        <w:gridCol w:w="346"/>
        <w:gridCol w:w="154"/>
      </w:tblGrid>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46" w:type="dxa"/>
            <w:tcBorders/>
            <w:vAlign w:val="center"/>
          </w:tcPr>
          <w:p>
            <w:pPr>
              <w:pStyle w:val="TableContents"/>
              <w:bidi w:val="0"/>
              <w:spacing w:lineRule="auto" w:line="285" w:before="0" w:after="0"/>
              <w:ind w:left="0" w:right="0" w:hanging="0"/>
              <w:jc w:val="left"/>
              <w:rPr/>
            </w:pPr>
            <w:r>
              <w:rPr/>
              <w:t>  ​ ​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6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347/000155837022014048/west-20220630xex3d1.htm" TargetMode="External"/><Relationship Id="rId4" Type="http://schemas.openxmlformats.org/officeDocument/2006/relationships/hyperlink" Target="https://www.sec.gov/Archives/edgar/data/1806347/000155837022014048/west-20220630xex3d2.htm" TargetMode="External"/><Relationship Id="rId5" Type="http://schemas.openxmlformats.org/officeDocument/2006/relationships/hyperlink" Target="https://www.sec.gov/Archives/edgar/data/1806347/000110465926079351/tm2618568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52974</Words>
  <Characters>289449</Characters>
  <CharactersWithSpaces>345479</CharactersWithSpaces>
  <Paragraphs>9543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